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Cs/>
          <w:i/>
          <w:i/>
          <w:sz w:val="28"/>
          <w:szCs w:val="28"/>
        </w:rPr>
      </w:pPr>
      <w:r>
        <w:rPr>
          <w:rFonts w:ascii="Times New Roman" w:hAnsi="Times New Roman"/>
          <w:bCs/>
          <w:i/>
          <w:sz w:val="28"/>
          <w:szCs w:val="28"/>
        </w:rPr>
        <w:t>Годовые отчеты о закупках у субъектов малого и среднего предпринимательства</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СЛАЙД №2 «Годовой отчет о закупках у СМП и СОНКО по 44-ФЗ»</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sz w:val="28"/>
          <w:szCs w:val="28"/>
          <w:u w:val="single"/>
        </w:rPr>
      </w:pPr>
      <w:r>
        <w:rPr>
          <w:rFonts w:ascii="Times New Roman" w:hAnsi="Times New Roman"/>
          <w:sz w:val="28"/>
          <w:szCs w:val="28"/>
          <w:u w:val="single"/>
        </w:rPr>
        <w:t>Федеральный закон № 44-ФЗ</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повышения экономической поддержки субъектов малого предпринимательства и социально-ориентированных некоммерческих организаций (далее – СМП и СОНКО) ст. 30 Федерального закона от 05.04.2013 № 44-ФЗ (далее – Закон № 44-ФЗ) предусмотрено осуществление закупок у указанной категории участников закупок в размере не менее 25 % совокупного годового объема закупок (далее – СГОЗ).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Согласно ч. 4 ст. 30 Закона № 44-ФЗ по итогам года </w:t>
      </w:r>
      <w:r>
        <w:rPr>
          <w:rFonts w:cs="Times New Roman" w:ascii="Times New Roman" w:hAnsi="Times New Roman"/>
          <w:b/>
          <w:sz w:val="28"/>
          <w:szCs w:val="28"/>
        </w:rPr>
        <w:t>все заказчики</w:t>
      </w:r>
      <w:r>
        <w:rPr>
          <w:rFonts w:cs="Times New Roman" w:ascii="Times New Roman" w:hAnsi="Times New Roman"/>
          <w:sz w:val="28"/>
          <w:szCs w:val="28"/>
        </w:rPr>
        <w:t xml:space="preserve"> обязаны составить отчет об объеме закупок у СМП и СОНКО, и </w:t>
      </w:r>
      <w:r>
        <w:rPr>
          <w:rFonts w:cs="Times New Roman" w:ascii="Times New Roman" w:hAnsi="Times New Roman"/>
          <w:b/>
          <w:sz w:val="28"/>
          <w:szCs w:val="28"/>
        </w:rPr>
        <w:t>до 1 апреля года,</w:t>
      </w:r>
      <w:r>
        <w:rPr>
          <w:rFonts w:cs="Times New Roman" w:ascii="Times New Roman" w:hAnsi="Times New Roman"/>
          <w:sz w:val="28"/>
          <w:szCs w:val="28"/>
        </w:rPr>
        <w:t xml:space="preserve"> следующего за отчетным годом, разместить такой отчет в единой информационной системе в сфере закупок (далее – ЕИС).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Порядок подготовки отчета об объеме закупок у СМП и СОНКО, его размещения в ЕИС, форма указанного отчета определены постановлением Правительства Российской Федерации № 238 (ч. 4.1 ст. 30 Закона № 44-ФЗ).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СЛАЙД № 3 «Ответственность по 44-ФЗ»</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Размещение в ЕИС отчета об объеме закупок у СМП, СОНКО с </w:t>
      </w:r>
      <w:r>
        <w:rPr>
          <w:rFonts w:cs="Times New Roman" w:ascii="Times New Roman" w:hAnsi="Times New Roman"/>
          <w:b/>
          <w:sz w:val="28"/>
          <w:szCs w:val="28"/>
        </w:rPr>
        <w:t>нарушением требований</w:t>
      </w:r>
      <w:r>
        <w:rPr>
          <w:rFonts w:cs="Times New Roman" w:ascii="Times New Roman" w:hAnsi="Times New Roman"/>
          <w:sz w:val="28"/>
          <w:szCs w:val="28"/>
        </w:rPr>
        <w:t xml:space="preserve"> законодательства о контрактной системе в сфере закупок влечет наложение административного штрафа на должностных лиц – 15 тыс. рублей, на юридических лиц – 50 тыс. рублей (ч. 1.4 ст. 7.30 КоАП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Неразмещение</w:t>
      </w:r>
      <w:r>
        <w:rPr>
          <w:rFonts w:cs="Times New Roman" w:ascii="Times New Roman" w:hAnsi="Times New Roman"/>
          <w:sz w:val="28"/>
          <w:szCs w:val="28"/>
        </w:rPr>
        <w:t xml:space="preserve"> в ЕИС годового отчета о закупке товаров, работ, услуг у СМП, СОНКО влечет наложение административного штрафа на должностных лиц – 50 тыс. рублей, на юридических лиц – 500 тыс. рублей (ч. 3 ст. 7.30 КоАП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Следует отметить, в случае осуществления закупок</w:t>
      </w:r>
      <w:r>
        <w:rPr>
          <w:rFonts w:cs="Times New Roman" w:ascii="Times New Roman" w:hAnsi="Times New Roman"/>
          <w:b/>
          <w:sz w:val="28"/>
          <w:szCs w:val="28"/>
        </w:rPr>
        <w:t xml:space="preserve"> </w:t>
      </w:r>
      <w:r>
        <w:rPr>
          <w:rFonts w:cs="Times New Roman" w:ascii="Times New Roman" w:hAnsi="Times New Roman"/>
          <w:sz w:val="28"/>
          <w:szCs w:val="28"/>
        </w:rPr>
        <w:t xml:space="preserve">ТРУ у СМП, СОНКО </w:t>
      </w:r>
      <w:r>
        <w:rPr>
          <w:rFonts w:cs="Times New Roman" w:ascii="Times New Roman" w:hAnsi="Times New Roman"/>
          <w:b/>
          <w:sz w:val="28"/>
          <w:szCs w:val="28"/>
        </w:rPr>
        <w:t>в размере менее 25 % СГОЗ</w:t>
      </w:r>
      <w:r>
        <w:rPr>
          <w:rFonts w:cs="Times New Roman" w:ascii="Times New Roman" w:hAnsi="Times New Roman"/>
          <w:sz w:val="28"/>
          <w:szCs w:val="28"/>
        </w:rPr>
        <w:t>, предусмотрено наложение на должностных лиц заказчика административного штрафа размере 50 тыс. рублей (ч. 11 ст. 7.30 КоАП РФ).</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СЛАЙД № 4 «Обучающие вебинары»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Управлением на регулярной основе проводится информирование о проведении вебинаров, касательно закупок у СМП. На своем официальном сайте в сети «Интернет» и в Телеграмм-канале «Контрольное сообщество НСО» Управление размещает последние новости об организации различных вебинаров для специалистов и экспертов по закупкам, контрактных управляющих.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того, чтобы избежать нарушения по формированию и сроков публикации отчетов о закупках у СМП 16 января 2023 года Управлением было организовано дистанционное обучение заказчиков Новосибирской области при поддержке электронного университета «СБЕР А». Материалы по проведенному обучению направлены письмом от 24.01.2023 № 05-08/51/39.</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Также Управление информировало заказчиков о тематических ВКС, организованных АО «Корпорация «МСП».</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lang w:val="en-US"/>
        </w:rPr>
        <w:t>C</w:t>
      </w:r>
      <w:r>
        <w:rPr>
          <w:rFonts w:cs="Times New Roman" w:ascii="Times New Roman" w:hAnsi="Times New Roman"/>
          <w:b/>
          <w:sz w:val="28"/>
          <w:szCs w:val="28"/>
        </w:rPr>
        <w:t>ЛАЙД № 5 «Результаты мониторинга соответствия годовых отчетов по 223-ФЗ»</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Заказчики, работающие по Федеральному закону от 18.07.2011                            № 223-ФЗ (далее – Закон № 223-ФЗ), согласно ч. 21 ст. 4 Закона № 223 </w:t>
      </w:r>
      <w:r>
        <w:rPr>
          <w:rFonts w:cs="Times New Roman" w:ascii="Times New Roman" w:hAnsi="Times New Roman"/>
          <w:b/>
          <w:sz w:val="28"/>
          <w:szCs w:val="28"/>
        </w:rPr>
        <w:t>ежегодно не позднее</w:t>
      </w:r>
      <w:r>
        <w:rPr>
          <w:rFonts w:cs="Times New Roman" w:ascii="Times New Roman" w:hAnsi="Times New Roman"/>
          <w:sz w:val="28"/>
          <w:szCs w:val="28"/>
        </w:rPr>
        <w:t xml:space="preserve"> 1 февраля года, следующего за прошедшим календарным годом обязаны разместить в ЕИС годовой отчет о закупке у субъектов малого и среднего предпринимательства (далее – СМСП).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Годовой объем закупок у СМСП должен быть </w:t>
      </w:r>
      <w:r>
        <w:rPr>
          <w:rFonts w:cs="Times New Roman" w:ascii="Times New Roman" w:hAnsi="Times New Roman"/>
          <w:b/>
          <w:bCs/>
          <w:sz w:val="28"/>
          <w:szCs w:val="28"/>
        </w:rPr>
        <w:t xml:space="preserve">не менее 25 % </w:t>
      </w:r>
      <w:r>
        <w:rPr>
          <w:rFonts w:cs="Times New Roman" w:ascii="Times New Roman" w:hAnsi="Times New Roman"/>
          <w:sz w:val="28"/>
          <w:szCs w:val="28"/>
        </w:rPr>
        <w:t xml:space="preserve">совокупного годового стоимостного объема договоров, заключенных заказчиками по результатам закупок. </w:t>
      </w:r>
      <w:r>
        <w:rPr>
          <w:rFonts w:cs="Times New Roman" w:ascii="Times New Roman" w:hAnsi="Times New Roman"/>
          <w:b/>
          <w:bCs/>
          <w:sz w:val="28"/>
          <w:szCs w:val="28"/>
        </w:rPr>
        <w:t xml:space="preserve">Не менее 20 % </w:t>
      </w:r>
      <w:r>
        <w:rPr>
          <w:rFonts w:cs="Times New Roman" w:ascii="Times New Roman" w:hAnsi="Times New Roman"/>
          <w:sz w:val="28"/>
          <w:szCs w:val="28"/>
        </w:rPr>
        <w:t>из них должны составлять договоры по результатам закупок только среди СМСП.</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Несмотря на организованное Управлением 16.01.2023 обучение, информирование о проведении вебинаров и дополнительные письменные напоминания по результатам проведения мониторинга соответствия годовых отчетов о закупке у СМСП за 2022 год выявлено:</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 11 организаций </w:t>
      </w:r>
      <w:r>
        <w:rPr>
          <w:rFonts w:cs="Times New Roman" w:ascii="Times New Roman" w:hAnsi="Times New Roman"/>
          <w:b/>
          <w:sz w:val="28"/>
          <w:szCs w:val="28"/>
        </w:rPr>
        <w:t>несвоевременное размещение</w:t>
      </w:r>
      <w:r>
        <w:rPr>
          <w:rFonts w:cs="Times New Roman" w:ascii="Times New Roman" w:hAnsi="Times New Roman"/>
          <w:sz w:val="28"/>
          <w:szCs w:val="28"/>
        </w:rPr>
        <w:t xml:space="preserve"> годового отчета в ЕИС.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 18 организаций</w:t>
      </w:r>
      <w:r>
        <w:rPr>
          <w:rFonts w:cs="Times New Roman" w:ascii="Times New Roman" w:hAnsi="Times New Roman"/>
          <w:b/>
          <w:sz w:val="28"/>
          <w:szCs w:val="28"/>
        </w:rPr>
        <w:t xml:space="preserve"> недостижение доли закупок</w:t>
      </w:r>
      <w:r>
        <w:rPr>
          <w:rFonts w:cs="Times New Roman" w:ascii="Times New Roman" w:hAnsi="Times New Roman"/>
          <w:sz w:val="28"/>
          <w:szCs w:val="28"/>
        </w:rPr>
        <w:t xml:space="preserve"> у СМСП.</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 6 организаций годовой отчет о закупке у СМСП </w:t>
      </w:r>
      <w:r>
        <w:rPr>
          <w:rFonts w:cs="Times New Roman" w:ascii="Times New Roman" w:hAnsi="Times New Roman"/>
          <w:b/>
          <w:sz w:val="28"/>
          <w:szCs w:val="28"/>
        </w:rPr>
        <w:t>не размещен</w:t>
      </w:r>
      <w:r>
        <w:rPr>
          <w:rFonts w:cs="Times New Roman" w:ascii="Times New Roman" w:hAnsi="Times New Roman"/>
          <w:sz w:val="28"/>
          <w:szCs w:val="28"/>
        </w:rPr>
        <w:t xml:space="preserve"> в ЕИС.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Так, </w:t>
      </w:r>
      <w:r>
        <w:rPr>
          <w:rFonts w:cs="Times New Roman" w:ascii="Times New Roman" w:hAnsi="Times New Roman"/>
          <w:b/>
          <w:sz w:val="28"/>
          <w:szCs w:val="28"/>
        </w:rPr>
        <w:t>несвоевременное размещение</w:t>
      </w:r>
      <w:r>
        <w:rPr>
          <w:rFonts w:cs="Times New Roman" w:ascii="Times New Roman" w:hAnsi="Times New Roman"/>
          <w:sz w:val="28"/>
          <w:szCs w:val="28"/>
        </w:rPr>
        <w:t xml:space="preserve"> годового отчета в ЕИС выявлено у подведомственных учреждений ОИОГВ и ОМСУ, и организаций, в которых ОИОГВ являются акционерами:</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физической культуры и спорта</w:t>
      </w:r>
      <w:r>
        <w:rPr>
          <w:rFonts w:cs="Times New Roman" w:ascii="Times New Roman" w:hAnsi="Times New Roman"/>
          <w:sz w:val="28"/>
          <w:szCs w:val="28"/>
        </w:rPr>
        <w:t xml:space="preserve"> (ГАУ ДО НСО «СШ по каратэ»),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культуры</w:t>
      </w:r>
      <w:r>
        <w:rPr>
          <w:rFonts w:cs="Times New Roman" w:ascii="Times New Roman" w:hAnsi="Times New Roman"/>
          <w:sz w:val="28"/>
          <w:szCs w:val="28"/>
        </w:rPr>
        <w:t xml:space="preserve"> (ГАУК НСО Ансамбль «Чалдоны»),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образования</w:t>
      </w:r>
      <w:r>
        <w:rPr>
          <w:rFonts w:cs="Times New Roman" w:ascii="Times New Roman" w:hAnsi="Times New Roman"/>
          <w:sz w:val="28"/>
          <w:szCs w:val="28"/>
        </w:rPr>
        <w:t xml:space="preserve"> (ГАУ НСО «АРИС»),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природных ресурсов и экологии</w:t>
      </w:r>
      <w:r>
        <w:rPr>
          <w:rFonts w:cs="Times New Roman" w:ascii="Times New Roman" w:hAnsi="Times New Roman"/>
          <w:sz w:val="28"/>
          <w:szCs w:val="28"/>
        </w:rPr>
        <w:t xml:space="preserve"> (АО «Сузунский лесхоз», ГАУ НСО «Краснозерский лесхоз»,</w:t>
      </w:r>
      <w:r>
        <w:rPr/>
        <w:t xml:space="preserve"> </w:t>
      </w:r>
      <w:r>
        <w:rPr>
          <w:rFonts w:cs="Times New Roman" w:ascii="Times New Roman" w:hAnsi="Times New Roman"/>
          <w:sz w:val="28"/>
          <w:szCs w:val="28"/>
        </w:rPr>
        <w:t xml:space="preserve">ГАУ НСО «Венгеровский лесхоз»),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труда и социального развития</w:t>
      </w:r>
      <w:r>
        <w:rPr>
          <w:rFonts w:cs="Times New Roman" w:ascii="Times New Roman" w:hAnsi="Times New Roman"/>
          <w:sz w:val="28"/>
          <w:szCs w:val="28"/>
        </w:rPr>
        <w:t xml:space="preserve"> (ГАУССО НСО «Завьяловский психоневрологический интернат»),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ОМСУ</w:t>
      </w:r>
      <w:r>
        <w:rPr>
          <w:rFonts w:cs="Times New Roman" w:ascii="Times New Roman" w:hAnsi="Times New Roman"/>
          <w:sz w:val="28"/>
          <w:szCs w:val="28"/>
        </w:rPr>
        <w:t xml:space="preserve"> </w:t>
      </w:r>
      <w:r>
        <w:rPr>
          <w:rFonts w:cs="Times New Roman" w:ascii="Times New Roman" w:hAnsi="Times New Roman"/>
          <w:b/>
          <w:sz w:val="28"/>
          <w:szCs w:val="28"/>
        </w:rPr>
        <w:t>Карасукского район</w:t>
      </w:r>
      <w:r>
        <w:rPr>
          <w:rFonts w:cs="Times New Roman" w:ascii="Times New Roman" w:hAnsi="Times New Roman"/>
          <w:sz w:val="28"/>
          <w:szCs w:val="28"/>
        </w:rPr>
        <w:t xml:space="preserve"> (МУП «КОМХОЗ» Карасукского района), </w:t>
      </w:r>
    </w:p>
    <w:p>
      <w:pPr>
        <w:pStyle w:val="ListParagraph"/>
        <w:numPr>
          <w:ilvl w:val="0"/>
          <w:numId w:val="1"/>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ОМСУ</w:t>
      </w:r>
      <w:r>
        <w:rPr>
          <w:rFonts w:cs="Times New Roman" w:ascii="Times New Roman" w:hAnsi="Times New Roman"/>
          <w:sz w:val="28"/>
          <w:szCs w:val="28"/>
        </w:rPr>
        <w:t xml:space="preserve"> </w:t>
      </w:r>
      <w:r>
        <w:rPr>
          <w:rFonts w:cs="Times New Roman" w:ascii="Times New Roman" w:hAnsi="Times New Roman"/>
          <w:b/>
          <w:sz w:val="28"/>
          <w:szCs w:val="28"/>
        </w:rPr>
        <w:t>Кочковского район</w:t>
      </w:r>
      <w:r>
        <w:rPr>
          <w:rFonts w:cs="Times New Roman" w:ascii="Times New Roman" w:hAnsi="Times New Roman"/>
          <w:sz w:val="28"/>
          <w:szCs w:val="28"/>
        </w:rPr>
        <w:t xml:space="preserve"> (МУП Решетовское ЖКХ, МП ЖКХ Быструхинского Сельсовета), </w:t>
      </w:r>
    </w:p>
    <w:p>
      <w:pPr>
        <w:pStyle w:val="ListParagraph"/>
        <w:numPr>
          <w:ilvl w:val="0"/>
          <w:numId w:val="3"/>
        </w:numPr>
        <w:spacing w:lineRule="auto" w:line="24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ОМСУ Чистоозерного района</w:t>
      </w:r>
      <w:r>
        <w:rPr>
          <w:rFonts w:cs="Times New Roman" w:ascii="Times New Roman" w:hAnsi="Times New Roman"/>
          <w:sz w:val="28"/>
          <w:szCs w:val="28"/>
        </w:rPr>
        <w:t xml:space="preserve"> (МУП «УК ЖКХ» Р.П. Чистоозерное).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Недостижение доли закупок</w:t>
      </w:r>
      <w:r>
        <w:rPr>
          <w:rFonts w:cs="Times New Roman" w:ascii="Times New Roman" w:hAnsi="Times New Roman"/>
          <w:sz w:val="28"/>
          <w:szCs w:val="28"/>
        </w:rPr>
        <w:t xml:space="preserve"> у СМСП выявлено у:</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Министерства культуры </w:t>
      </w:r>
      <w:r>
        <w:rPr>
          <w:rFonts w:cs="Times New Roman" w:ascii="Times New Roman" w:hAnsi="Times New Roman"/>
          <w:sz w:val="28"/>
          <w:szCs w:val="28"/>
        </w:rPr>
        <w:t xml:space="preserve">(ГАУК НСО НГХМ), </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образования</w:t>
      </w:r>
      <w:r>
        <w:rPr>
          <w:rFonts w:cs="Times New Roman" w:ascii="Times New Roman" w:hAnsi="Times New Roman"/>
          <w:sz w:val="28"/>
          <w:szCs w:val="28"/>
        </w:rPr>
        <w:t xml:space="preserve"> (ГАПОУ НСО «Новосибирский центр профессионального обучения в сфере транспорта», ГАПОУ НСО «Новосибирский колледж питания и сервиса»), </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природных ресурсов и экологии</w:t>
      </w:r>
      <w:r>
        <w:rPr>
          <w:rFonts w:cs="Times New Roman" w:ascii="Times New Roman" w:hAnsi="Times New Roman"/>
          <w:sz w:val="28"/>
          <w:szCs w:val="28"/>
        </w:rPr>
        <w:t xml:space="preserve"> (ГАУ НСО «Барабинский лесхоз», ГАУ НСО «Татарский лесхоз», ГАУ НСО «Новосибирская авиабаза»), </w:t>
      </w:r>
    </w:p>
    <w:p>
      <w:pPr>
        <w:pStyle w:val="ListParagraph"/>
        <w:numPr>
          <w:ilvl w:val="0"/>
          <w:numId w:val="2"/>
        </w:numPr>
        <w:spacing w:lineRule="auto" w:line="24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 xml:space="preserve">Министерства науки и инновационной политики </w:t>
      </w:r>
      <w:r>
        <w:rPr>
          <w:rFonts w:cs="Times New Roman" w:ascii="Times New Roman" w:hAnsi="Times New Roman"/>
          <w:sz w:val="28"/>
          <w:szCs w:val="28"/>
        </w:rPr>
        <w:t>(АО "АКАДЕМПАРК"),</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Управления информационных проектов </w:t>
      </w:r>
      <w:r>
        <w:rPr>
          <w:rFonts w:cs="Times New Roman" w:ascii="Times New Roman" w:hAnsi="Times New Roman"/>
          <w:sz w:val="28"/>
          <w:szCs w:val="28"/>
        </w:rPr>
        <w:t xml:space="preserve">(ГАУ НСО «Редакция газеты «Маслянинский Льновод», ГАУ НСО «Редакция Газеты «Маяк Кулунды», ГАУ НСО «Редакция Газеты «Мошковская Новь», ГАУ НСО «Редакция Газеты «Наша Жизнь», ГАУ НСО «Редакция Газеты «За Изобилие», ГАУ НСО «Редакция Газеты «Краснозёрская Новь», ГАУ НСО «Редакция Газеты «Сельская Правда», ГАУ НСО «Редакция Газеты «Новая Жизнь», ГАУ НСО «Издательский Дом «Советская Сибирь», ГАУ НСО «Редакция Газеты «Тогучинская Газета»), </w:t>
      </w:r>
    </w:p>
    <w:p>
      <w:pPr>
        <w:pStyle w:val="ListParagraph"/>
        <w:numPr>
          <w:ilvl w:val="0"/>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ОМСУ</w:t>
      </w:r>
      <w:r>
        <w:rPr>
          <w:rFonts w:cs="Times New Roman" w:ascii="Times New Roman" w:hAnsi="Times New Roman"/>
          <w:sz w:val="28"/>
          <w:szCs w:val="28"/>
        </w:rPr>
        <w:t xml:space="preserve"> </w:t>
      </w:r>
      <w:r>
        <w:rPr>
          <w:rFonts w:cs="Times New Roman" w:ascii="Times New Roman" w:hAnsi="Times New Roman"/>
          <w:b/>
          <w:sz w:val="28"/>
          <w:szCs w:val="28"/>
        </w:rPr>
        <w:t>Сузунского района</w:t>
      </w:r>
      <w:r>
        <w:rPr>
          <w:rFonts w:cs="Times New Roman" w:ascii="Times New Roman" w:hAnsi="Times New Roman"/>
          <w:sz w:val="28"/>
          <w:szCs w:val="28"/>
        </w:rPr>
        <w:t xml:space="preserve"> (МУП «ШАРЧИНСКОЕ ЖКХ»).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Годовой отчет о закупках у СМСП </w:t>
      </w:r>
      <w:r>
        <w:rPr>
          <w:rFonts w:cs="Times New Roman" w:ascii="Times New Roman" w:hAnsi="Times New Roman"/>
          <w:b/>
          <w:sz w:val="28"/>
          <w:szCs w:val="28"/>
        </w:rPr>
        <w:t>не размещен</w:t>
      </w:r>
      <w:r>
        <w:rPr>
          <w:rFonts w:cs="Times New Roman" w:ascii="Times New Roman" w:hAnsi="Times New Roman"/>
          <w:sz w:val="28"/>
          <w:szCs w:val="28"/>
        </w:rPr>
        <w:t xml:space="preserve"> у:</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Министерства природных ресурсов и экологии</w:t>
      </w:r>
      <w:r>
        <w:rPr>
          <w:rFonts w:cs="Times New Roman" w:ascii="Times New Roman" w:hAnsi="Times New Roman"/>
          <w:sz w:val="28"/>
          <w:szCs w:val="28"/>
        </w:rPr>
        <w:t xml:space="preserve"> (ГАУ НСО «Тогучинский лесхоз», ГУП НСО «Кыштовский Лесхоз», АО «Здвинский лесхоз»), </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ОМСУ Доволенского района</w:t>
      </w:r>
      <w:r>
        <w:rPr>
          <w:rFonts w:cs="Times New Roman" w:ascii="Times New Roman" w:hAnsi="Times New Roman"/>
          <w:sz w:val="28"/>
          <w:szCs w:val="28"/>
        </w:rPr>
        <w:t xml:space="preserve"> (ДОВОЛЕНСКОЕ МУП «ТЕПЛОСЕТЬ №1», МУП КХ «ТРАВНИНСКОЕ»), </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ОМСУ Куйбышевского района</w:t>
      </w:r>
      <w:r>
        <w:rPr>
          <w:rFonts w:cs="Times New Roman" w:ascii="Times New Roman" w:hAnsi="Times New Roman"/>
          <w:sz w:val="28"/>
          <w:szCs w:val="28"/>
        </w:rPr>
        <w:t xml:space="preserve"> (МУП «ЭНЕРГИЯ»).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СЛАЙД № 6 «Ответственность по 223-ФЗ»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недостижения установленной доли, размещения недостоверной информации в годовом отчете или неразмещения годового отчета (равно размещение не в установленный срок), </w:t>
      </w:r>
      <w:r>
        <w:rPr>
          <w:rFonts w:cs="Times New Roman" w:ascii="Times New Roman" w:hAnsi="Times New Roman"/>
          <w:b/>
          <w:sz w:val="28"/>
          <w:szCs w:val="28"/>
        </w:rPr>
        <w:t>положение о закупке</w:t>
      </w:r>
      <w:r>
        <w:rPr>
          <w:rFonts w:cs="Times New Roman" w:ascii="Times New Roman" w:hAnsi="Times New Roman"/>
          <w:sz w:val="28"/>
          <w:szCs w:val="28"/>
        </w:rPr>
        <w:t xml:space="preserve"> таких заказчиков с 1 февраля и до конца года </w:t>
      </w:r>
      <w:r>
        <w:rPr>
          <w:rFonts w:cs="Times New Roman" w:ascii="Times New Roman" w:hAnsi="Times New Roman"/>
          <w:b/>
          <w:sz w:val="28"/>
          <w:szCs w:val="28"/>
        </w:rPr>
        <w:t>признается неразмещенным</w:t>
      </w:r>
      <w:r>
        <w:rPr>
          <w:rFonts w:cs="Times New Roman" w:ascii="Times New Roman" w:hAnsi="Times New Roman"/>
          <w:sz w:val="28"/>
          <w:szCs w:val="28"/>
        </w:rPr>
        <w:t xml:space="preserve"> в соответствии с требованиями Закона № 223-ФЗ. В таком случае заказчики </w:t>
      </w:r>
      <w:r>
        <w:rPr>
          <w:rFonts w:cs="Times New Roman" w:ascii="Times New Roman" w:hAnsi="Times New Roman"/>
          <w:b/>
          <w:sz w:val="28"/>
          <w:szCs w:val="28"/>
        </w:rPr>
        <w:t>обязаны</w:t>
      </w:r>
      <w:r>
        <w:rPr>
          <w:rFonts w:cs="Times New Roman" w:ascii="Times New Roman" w:hAnsi="Times New Roman"/>
          <w:sz w:val="28"/>
          <w:szCs w:val="28"/>
        </w:rPr>
        <w:t xml:space="preserve"> в течение указанного периода руководствоваться положениями Закона № 44-ФЗ в определенных ч. 8.1 ст. 3 Закона № 223-ФЗ пределах, в том числе в части:</w:t>
      </w:r>
      <w:bookmarkStart w:id="0" w:name="_GoBack"/>
      <w:bookmarkEnd w:id="0"/>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выбора способа определения поставщика (исполнителя, подрядчика);</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осуществления закупок у СМП, СОНКО;</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определения поставщика (исполнителя, подрядчика);</w:t>
      </w:r>
    </w:p>
    <w:p>
      <w:pPr>
        <w:pStyle w:val="ListParagraph"/>
        <w:numPr>
          <w:ilvl w:val="0"/>
          <w:numId w:val="3"/>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осуществления закупки у единственного поставщика.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 неразмещение, несвоевременное размещение годового отчета в ЕИС предусмотрена </w:t>
      </w:r>
      <w:r>
        <w:rPr>
          <w:rFonts w:cs="Times New Roman" w:ascii="Times New Roman" w:hAnsi="Times New Roman"/>
          <w:b/>
          <w:sz w:val="28"/>
          <w:szCs w:val="28"/>
        </w:rPr>
        <w:t>административная ответственность</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Неразмещение</w:t>
      </w:r>
      <w:r>
        <w:rPr>
          <w:rFonts w:cs="Times New Roman" w:ascii="Times New Roman" w:hAnsi="Times New Roman"/>
          <w:sz w:val="28"/>
          <w:szCs w:val="28"/>
        </w:rPr>
        <w:t xml:space="preserve"> в ЕИС годового отчета о закупке товаров, работ, услуг у СМСП влечет наложение административного штрафа на должностных лиц в размере от 30 тысяч до 50 тысяч рублей, на юридических лиц - от 100 тысяч до 300 тысяч рублей (ч. 5 ст. 7.32.3 КоАП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rPr>
        <w:t>Несвоевременное размещение</w:t>
      </w:r>
      <w:r>
        <w:rPr>
          <w:rFonts w:cs="Times New Roman" w:ascii="Times New Roman" w:hAnsi="Times New Roman"/>
          <w:sz w:val="28"/>
          <w:szCs w:val="28"/>
        </w:rPr>
        <w:t xml:space="preserve"> в ЕИС информации о годовом объеме закупок у СМСП влечет наложение административного штрафа на должностных лиц заказчика в размере от 2 тысяч до 5 тысяч рублей, на юридических лиц – от 10 тысяч до 30 тысяч рублей (ч. 4 ст. 7.32.3 КоАП РФ).</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Кроме того, в случае если заказчики, положение о закупке которых признаны неразмещенными, </w:t>
      </w:r>
      <w:r>
        <w:rPr>
          <w:rFonts w:cs="Times New Roman" w:ascii="Times New Roman" w:hAnsi="Times New Roman"/>
          <w:b/>
          <w:sz w:val="28"/>
          <w:szCs w:val="28"/>
        </w:rPr>
        <w:t>продолжают осуществлять закупки</w:t>
      </w:r>
      <w:r>
        <w:rPr>
          <w:rFonts w:cs="Times New Roman" w:ascii="Times New Roman" w:hAnsi="Times New Roman"/>
          <w:sz w:val="28"/>
          <w:szCs w:val="28"/>
        </w:rPr>
        <w:t xml:space="preserve"> в соответствии с Законом № 223-ФЗ, такие действия влекут наложение административного штрафа на должностных лиц от 20 тысяч до 30 тысяч рублей, на юридическое лицо – от 50 до 100 тысяч рублей в отношении </w:t>
      </w:r>
      <w:r>
        <w:rPr>
          <w:rFonts w:cs="Times New Roman" w:ascii="Times New Roman" w:hAnsi="Times New Roman"/>
          <w:b/>
          <w:sz w:val="28"/>
          <w:szCs w:val="28"/>
        </w:rPr>
        <w:t xml:space="preserve">каждой такой закупки </w:t>
      </w:r>
      <w:r>
        <w:rPr>
          <w:rFonts w:cs="Times New Roman" w:ascii="Times New Roman" w:hAnsi="Times New Roman"/>
          <w:sz w:val="28"/>
          <w:szCs w:val="28"/>
        </w:rPr>
        <w:t>(ч. 3 ст. 7.32.3 КоАП РФ).</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Обращаем внимание, что за 2022 год в рамках деятельности по административному производству Управлением рассмотрено 118 дел, связанных с неразмещением или размещением с нарушением требований в ЕИС информации и документов, в том числе отчетов по закупкам у СМП.</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0"/>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Pr>
      <w:rFonts w:ascii="Arial" w:hAnsi="Arial" w:eastAsia="Arial" w:cs="Arial"/>
      <w:sz w:val="40"/>
      <w:szCs w:val="40"/>
    </w:rPr>
  </w:style>
  <w:style w:type="character" w:styleId="21" w:customStyle="1">
    <w:name w:val="Заголовок 2 Знак"/>
    <w:basedOn w:val="DefaultParagraphFont"/>
    <w:link w:val="2"/>
    <w:uiPriority w:val="9"/>
    <w:qFormat/>
    <w:rPr>
      <w:rFonts w:ascii="Arial" w:hAnsi="Arial" w:eastAsia="Arial" w:cs="Arial"/>
      <w:sz w:val="34"/>
    </w:rPr>
  </w:style>
  <w:style w:type="character" w:styleId="31" w:customStyle="1">
    <w:name w:val="Заголовок 3 Знак"/>
    <w:basedOn w:val="DefaultParagraphFont"/>
    <w:link w:val="3"/>
    <w:uiPriority w:val="9"/>
    <w:qFormat/>
    <w:rPr>
      <w:rFonts w:ascii="Arial" w:hAnsi="Arial" w:eastAsia="Arial" w:cs="Arial"/>
      <w:sz w:val="30"/>
      <w:szCs w:val="30"/>
    </w:rPr>
  </w:style>
  <w:style w:type="character" w:styleId="41" w:customStyle="1">
    <w:name w:val="Заголовок 4 Знак"/>
    <w:basedOn w:val="DefaultParagraphFont"/>
    <w:link w:val="4"/>
    <w:uiPriority w:val="9"/>
    <w:qFormat/>
    <w:rPr>
      <w:rFonts w:ascii="Arial" w:hAnsi="Arial" w:eastAsia="Arial" w:cs="Arial"/>
      <w:b/>
      <w:bCs/>
      <w:sz w:val="26"/>
      <w:szCs w:val="26"/>
    </w:rPr>
  </w:style>
  <w:style w:type="character" w:styleId="51" w:customStyle="1">
    <w:name w:val="Заголовок 5 Знак"/>
    <w:basedOn w:val="DefaultParagraphFont"/>
    <w:link w:val="5"/>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Style5" w:customStyle="1">
    <w:name w:val="Заголовок Знак"/>
    <w:basedOn w:val="DefaultParagraphFont"/>
    <w:link w:val="a5"/>
    <w:uiPriority w:val="10"/>
    <w:qFormat/>
    <w:rPr>
      <w:sz w:val="48"/>
      <w:szCs w:val="48"/>
    </w:rPr>
  </w:style>
  <w:style w:type="character" w:styleId="Style6" w:customStyle="1">
    <w:name w:val="Подзаголовок Знак"/>
    <w:basedOn w:val="DefaultParagraphFont"/>
    <w:link w:val="a7"/>
    <w:uiPriority w:val="11"/>
    <w:qFormat/>
    <w:rPr>
      <w:sz w:val="24"/>
      <w:szCs w:val="24"/>
    </w:rPr>
  </w:style>
  <w:style w:type="character" w:styleId="22" w:customStyle="1">
    <w:name w:val="Цитата 2 Знак"/>
    <w:link w:val="21"/>
    <w:uiPriority w:val="29"/>
    <w:qFormat/>
    <w:rPr>
      <w:i/>
    </w:rPr>
  </w:style>
  <w:style w:type="character" w:styleId="Style7" w:customStyle="1">
    <w:name w:val="Выделенная цитата Знак"/>
    <w:link w:val="a9"/>
    <w:uiPriority w:val="30"/>
    <w:qFormat/>
    <w:rPr>
      <w:i/>
    </w:rPr>
  </w:style>
  <w:style w:type="character" w:styleId="Style8" w:customStyle="1">
    <w:name w:val="Верхний колонтитул Знак"/>
    <w:basedOn w:val="DefaultParagraphFont"/>
    <w:link w:val="ab"/>
    <w:uiPriority w:val="99"/>
    <w:qFormat/>
    <w:rPr/>
  </w:style>
  <w:style w:type="character" w:styleId="FooterChar" w:customStyle="1">
    <w:name w:val="Footer Char"/>
    <w:basedOn w:val="DefaultParagraphFont"/>
    <w:uiPriority w:val="99"/>
    <w:qFormat/>
    <w:rPr/>
  </w:style>
  <w:style w:type="character" w:styleId="Style9" w:customStyle="1">
    <w:name w:val="Нижний колонтитул Знак"/>
    <w:link w:val="ad"/>
    <w:uiPriority w:val="99"/>
    <w:qFormat/>
    <w:rPr/>
  </w:style>
  <w:style w:type="character" w:styleId="Style10" w:customStyle="1">
    <w:name w:val="Текст сноски Знак"/>
    <w:link w:val="af0"/>
    <w:uiPriority w:val="99"/>
    <w:qFormat/>
    <w:rPr>
      <w:sz w:val="18"/>
    </w:rPr>
  </w:style>
  <w:style w:type="character" w:styleId="Style11">
    <w:name w:val="Привязка сноски"/>
    <w:rPr>
      <w:vertAlign w:val="superscript"/>
    </w:rPr>
  </w:style>
  <w:style w:type="character" w:styleId="FootnoteCharacters">
    <w:name w:val="Footnote Characters"/>
    <w:basedOn w:val="DefaultParagraphFont"/>
    <w:unhideWhenUsed/>
    <w:qFormat/>
    <w:rPr>
      <w:vertAlign w:val="superscript"/>
    </w:rPr>
  </w:style>
  <w:style w:type="character" w:styleId="Style12" w:customStyle="1">
    <w:name w:val="Текст концевой сноски Знак"/>
    <w:link w:val="af3"/>
    <w:uiPriority w:val="99"/>
    <w:qFormat/>
    <w:rPr>
      <w:sz w:val="20"/>
    </w:rPr>
  </w:style>
  <w:style w:type="character" w:styleId="Style13">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Style14">
    <w:name w:val="Интернет-ссылка"/>
    <w:basedOn w:val="DefaultParagraphFont"/>
    <w:uiPriority w:val="99"/>
    <w:semiHidden/>
    <w:unhideWhenUsed/>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ListParagraph">
    <w:name w:val="List Paragraph"/>
    <w:basedOn w:val="Normal"/>
    <w:uiPriority w:val="34"/>
    <w:qFormat/>
    <w:pPr>
      <w:spacing w:before="0" w:after="160"/>
      <w:ind w:left="720" w:hanging="0"/>
      <w:contextualSpacing/>
    </w:pPr>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20">
    <w:name w:val="Title"/>
    <w:basedOn w:val="Normal"/>
    <w:next w:val="Normal"/>
    <w:link w:val="a6"/>
    <w:uiPriority w:val="10"/>
    <w:qFormat/>
    <w:pPr>
      <w:spacing w:before="300" w:after="200"/>
      <w:contextualSpacing/>
    </w:pPr>
    <w:rPr>
      <w:sz w:val="48"/>
      <w:szCs w:val="48"/>
    </w:rPr>
  </w:style>
  <w:style w:type="paragraph" w:styleId="Style21">
    <w:name w:val="Subtitle"/>
    <w:basedOn w:val="Normal"/>
    <w:next w:val="Normal"/>
    <w:link w:val="a8"/>
    <w:uiPriority w:val="11"/>
    <w:qFormat/>
    <w:pPr>
      <w:spacing w:before="200" w:after="200"/>
    </w:pPr>
    <w:rPr>
      <w:sz w:val="24"/>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Верхний и нижний колонтитулы"/>
    <w:basedOn w:val="Normal"/>
    <w:qFormat/>
    <w:pPr/>
    <w:rPr/>
  </w:style>
  <w:style w:type="paragraph" w:styleId="Style23">
    <w:name w:val="Header"/>
    <w:basedOn w:val="Normal"/>
    <w:link w:val="ac"/>
    <w:uiPriority w:val="99"/>
    <w:unhideWhenUsed/>
    <w:pPr>
      <w:tabs>
        <w:tab w:val="clear" w:pos="708"/>
        <w:tab w:val="center" w:pos="7143" w:leader="none"/>
        <w:tab w:val="right" w:pos="14287" w:leader="none"/>
      </w:tabs>
      <w:spacing w:lineRule="auto" w:line="240" w:before="0" w:after="0"/>
    </w:pPr>
    <w:rPr/>
  </w:style>
  <w:style w:type="paragraph" w:styleId="Style24">
    <w:name w:val="Footer"/>
    <w:basedOn w:val="Normal"/>
    <w:link w:val="ae"/>
    <w:uiPriority w:val="99"/>
    <w:unhideWhenUsed/>
    <w:pPr>
      <w:tabs>
        <w:tab w:val="clear" w:pos="708"/>
        <w:tab w:val="center" w:pos="7143" w:leader="none"/>
        <w:tab w:val="right" w:pos="14287" w:leader="none"/>
      </w:tabs>
      <w:spacing w:lineRule="auto" w:line="240" w:before="0" w:after="0"/>
    </w:pPr>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5">
    <w:name w:val="Footnote Text"/>
    <w:basedOn w:val="Normal"/>
    <w:link w:val="af1"/>
    <w:uiPriority w:val="99"/>
    <w:semiHidden/>
    <w:unhideWhenUsed/>
    <w:pPr>
      <w:spacing w:lineRule="auto" w:line="240" w:before="0" w:after="40"/>
    </w:pPr>
    <w:rPr>
      <w:sz w:val="18"/>
    </w:rPr>
  </w:style>
  <w:style w:type="paragraph" w:styleId="Style26">
    <w:name w:val="Endnote Text"/>
    <w:basedOn w:val="Normal"/>
    <w:link w:val="af4"/>
    <w:uiPriority w:val="99"/>
    <w:semiHidden/>
    <w:unhideWhenUsed/>
    <w:pPr>
      <w:spacing w:lineRule="auto" w:line="240" w:before="0" w:after="0"/>
    </w:pPr>
    <w:rPr>
      <w:sz w:val="20"/>
    </w:rPr>
  </w:style>
  <w:style w:type="paragraph" w:styleId="12">
    <w:name w:val="TOC 1"/>
    <w:basedOn w:val="Normal"/>
    <w:next w:val="Normal"/>
    <w:uiPriority w:val="39"/>
    <w:unhideWhenUsed/>
    <w:pPr>
      <w:spacing w:before="0" w:after="57"/>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pPr>
      <w:spacing w:before="0" w:after="0"/>
    </w:pP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pPr>
      <w:spacing w:after="0" w:line="240" w:lineRule="auto"/>
    </w:pPr>
    <w:rPr>
      <w:lang w:eastAsia="ru-RU"/>
      <w:color w:val="404040"/>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pPr>
      <w:spacing w:after="0" w:line="240" w:lineRule="auto"/>
    </w:pPr>
    <w:rPr>
      <w:lang w:eastAsia="ru-RU"/>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after="0" w:line="240" w:lineRule="auto"/>
    </w:pPr>
    <w:rPr>
      <w:lang w:eastAsia="ru-RU"/>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after="0" w:line="240" w:lineRule="auto"/>
    </w:pPr>
    <w:rPr>
      <w:lang w:eastAsia="ru-RU"/>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after="0" w:line="240" w:lineRule="auto"/>
    </w:pPr>
    <w:rPr>
      <w:lang w:eastAsia="ru-RU"/>
      <w:color w:val="404040"/>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pPr>
      <w:spacing w:after="0" w:line="240" w:lineRule="auto"/>
    </w:pPr>
    <w:rPr>
      <w:lang w:eastAsia="ru-RU"/>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8">
    <w:name w:val="Table Grid"/>
    <w:basedOn w:val="a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Application>LibreOffice/6.4.7.2$Linux_X86_64 LibreOffice_project/40$Build-2</Application>
  <Pages>4</Pages>
  <Words>1092</Words>
  <Characters>6603</Characters>
  <CharactersWithSpaces>7676</CharactersWithSpaces>
  <Paragraphs>52</Paragraphs>
  <Company>PNO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2023-01-20T07:35:00Z</dcterms:created>
  <dc:creator>Дубина Екатерина Дмитриевна</dc:creator>
  <dc:description/>
  <dc:language>ru-RU</dc:language>
  <cp:lastModifiedBy>Журова Софья Сергеевна</cp:lastModifiedBy>
  <cp:lastPrinted>2023-03-16T02:32:00Z</cp:lastPrinted>
  <dcterms:modified xsi:type="dcterms:W3CDTF">2023-03-20T10:04:00Z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