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13"/>
        <w:ind w:firstLine="709"/>
        <w:jc w:val="righ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08.08.2025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righ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righ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Тема доклада: «Независимая гарантия в системе государственных закупок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: правовые основы и практическое применение при осуществлении закупок по Закону № 44-ФЗ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Добрый день, уважаемые коллеги!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Слайд 2 Виды обеспечения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Все юридические и физи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ческие лица, а также индивидуальные предприниматели, участвующие в закупках по Закону №44-ФЗ в качестве поставщиков (подрядчиков, исполнителей) на разных стадиях закупочной процедуры должны вносить так называемый задаток, называемый в законе «обеспечение».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Существует три вида обеспечения, которые нужны на разных стадиях проведения закупки: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tbl>
      <w:tblPr>
        <w:tblStyle w:val="969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3963"/>
      </w:tblGrid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Вид обеспечения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Зачем нужно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Когда нужно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none"/>
              </w:rPr>
              <w:t xml:space="preserve">Обеспечение заявки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 случае если победитель откажется от заключения контракта с заказчиком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Во время подачи заявок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none"/>
              </w:rPr>
              <w:t xml:space="preserve">Обеспечение исполнения контракта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 целях гарантии того, что поставщик (подрядчик, исполнитель) выполнит свои обязательства по заключенному контракту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Перед заключением контракта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870"/>
        </w:trPr>
        <w:tc>
          <w:tcPr>
            <w:tcW w:w="21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highlight w:val="none"/>
              </w:rPr>
              <w:t xml:space="preserve">Обеспечение гарантийных обязательств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Чтобы поставщик (подрядчик, исполнитель) выполнил гарантийные обязательства.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9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Зависит от условий конкретной закупки. По общему правилу – в любой момент до подписания документов о приемке.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pStyle w:val="1113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Слайд 3 Способы обеспечения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Обеспечение можно внести одним из двух установленных законом способом. Выбор способа обеспечения осуществляется участником закупки самостоятельно</w:t>
      </w:r>
      <w:r>
        <w:rPr>
          <w:rStyle w:val="1098"/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  <w:footnoteReference w:id="2"/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В виде денежных средств: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осуществляется блокировка денежных средств на специальном счете (при обеспечении заявки)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или денежные средства перечисляются участником на реквизиты заказчика, указанные в закупочной документации (в остальных случаях).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В виде предоставления независимой гарантии,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предусмотренной ст.45 Закона №44-ФЗ: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случае отсутствия у участника собственных денежных средств для обеспечения, он имеет возможность обратиться в банк и оплатить услуги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оформлению независимой гарантии, которая подтверждает исполнение обязательств участника, позволяя ему участвовать в закупках без «замораживания» собственных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денежных средств.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Банк должен быть в 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специальном списке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 Минфина (ч. 1 ст. 45 44-ФЗ).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Проверить можно: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На сайте Минфина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: </w:t>
      </w:r>
      <w:hyperlink r:id="rId10" w:tooltip="https://minfin.gov.ru/" w:history="1">
        <w:r>
          <w:rPr>
            <w:rStyle w:val="1095"/>
            <w:rFonts w:ascii="Times New Roman" w:hAnsi="Times New Roman" w:cs="Times New Roman"/>
            <w:color w:val="000000" w:themeColor="text1"/>
            <w:sz w:val="28"/>
            <w:szCs w:val="28"/>
            <w:highlight w:val="none"/>
          </w:rPr>
          <w:t xml:space="preserve">https://minfin.gov.ru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(https://minfin.gov.ru/ru/perfomance/contracts/list_banks?id_0=10033-perechen_bankov_kotorye_vprave_vydavat_nezavisimye_garantii_dlya_obespecheniya_zayavok_i_i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spolneniya_kontraktov_i_sootvetstvuyushchikh_trebovaniyam_ustanovlennym_chastyami_1_i_1.1_stati_45_federalnogo_zakona_ot_05.04.2013__44-fz_o_kontraktnoi_sisteme_v_sfere_zakupok_tovarov_rabot_uslug_dlya_obespecheniya_gosudarstvennykh_i_munitsipalnykh_nuzhd)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В реестре банков ЦБ РФ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Таким образом,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  <w:t xml:space="preserve">езависимая гарантия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— это способ обеспечить одной из сторон договора исполнение своих обязательств перед другой стороной с помощью третьего лица (гаранта).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Независимая гарантия выдается в письменной форме. Заказчики принимают независимые гарантии, выданные банками и другими кредитными организациями, указанными в ч. 1 ст. 45 Закона № 44-ФЗ.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Слайд 4 Требования к независимой гарантии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Независимая гарантия должна быть безотзывной и содержать обязательные условия, предусмотренные ч. 2, 3, 8.2 ст. 45 Закона № 44-ФЗ, и соответствовать дополнительным требованиям, установленным постановлением Правительства РФ № 1005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3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left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Справочно: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гарантии обязательно указывают: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numPr>
          <w:ilvl w:val="0"/>
          <w:numId w:val="7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Название заказчика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и его реквизиты (ИНН, адрес, контакты).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numPr>
          <w:ilvl w:val="0"/>
          <w:numId w:val="7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Сумму гарантии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(не меньше размера обеспечения по контракту).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numPr>
          <w:ilvl w:val="0"/>
          <w:numId w:val="7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Срок действия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numPr>
          <w:ilvl w:val="1"/>
          <w:numId w:val="7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заявки — минимум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на 1 месяц дольше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срока подачи заявок.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numPr>
          <w:ilvl w:val="1"/>
          <w:numId w:val="7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контракта — минимум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на 1 месяц дольше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срока исполнения контракта.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numPr>
          <w:ilvl w:val="0"/>
          <w:numId w:val="7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Условия выплаты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— когда заказчик может потребовать деньги (например, при нарушении контракта).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numPr>
          <w:ilvl w:val="0"/>
          <w:numId w:val="7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Название банка-гаранта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(из перечня Минфина по ст. 45 44-ФЗ).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Важно!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Если чего-то не хватает — заказчик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отклонит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гарантию.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Постановлением Правительства РФ от 08.11.2013 № 1005 утверждены типовые формы независимых гарантий. Все предоставляемые участником независимые гарантии должны соответствовать, утвержденным типовым формам.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Также независимая гарантия, информация о ней и предусмотренные ч. 9 ст. 45 Закона № 44-ФЗ документы, должны быть включены в реестр независимых гарантий, размещенный в ЕИС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4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Заказчик проверяет гарантию в ЕИС перед допуском к закупке.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Слайд 5 Основания для отказа в принятии гарантии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Основания, по которым заказчик отказать в принятии независимой гаран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тии установлены Законом ФЗ-44. В первую очередь – это несоответствие независимой гарантии по форме и содержанию установленным законом, а также извещением (проектом контракта) требованиям, а также отсутствие данных о гарантии в реестре независимых гарантий:</w:t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 отсутствие информации о независимой гарантии в предусмотренных статьей 45 Закона № 44-ФЗ реестрах независимых гарантий: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Реестр ведет Федеральное казначейство России, организации-гаранты обязаны направлять информацию о каждой выпущенной независимой гарантии в ЕИС в течение 1 рабочего дня после выпуска гарантии, доступ к реестру открыт;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 несоответствие независимой гарантии требованиям, предусмотренным частями 2, 3 и 8.2 статьи 45 Закона № 44-ФЗ, по которым в гарантию следует включать: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Сумму гарантии и идентификационный код закупки;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Обеспечиваемые обязательства принципала (участника закупки; поставщика (подрядчика, исполнителя);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Обязанность уплачивать пени за просрочку исполнения обязательств;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Условие о зачислении средств на счет заказчика;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Срок действия гарантии;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Отлагательное условие заключения договора предоставления гарантии (в случае заключения гарантии в качестве исполнения контракта);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Перечень документов, предоставляемых вместе с требованием об оплате.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Условие, обязывающее гаранта выплатить заказчику денежную сумму не позднее 10 рабочих дней после получения требования;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Дополнительные требования в соответствии с ПП РФ № 1005 от 08.11.2013 (запрет изменений или отмены, требования по форме)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 несоответствие независимой гарантии требованиям, содержащимся в извещении, проекте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контракта, который заключается с единственным поставщиком, подрядчиком, исполнителем (такие требования устанавливаются в извещении в соответствии с пунктом п. 16 ч. 1 ст. 42 Закона № 44-ФЗ и в проекте контракта в соответствии с ч. 30 ст. 34 Закона № 44-ФЗ)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5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  <w:t xml:space="preserve">На что обратить внимание заказчику: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Независимая гарантия, информация о ней и предусмотренные документы, должны быть включены в реестр независимых гарантий, размещенный в ЕИС.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  <w:t xml:space="preserve">Проверка наличия независимой гарантии в реестре, осуществляется следующим образом: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Участник закупки при подаче заявки на участие в закупке указывает в своей заявке номер реестровой записи из реестра независимых гарантий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размещенном в ЕИС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6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Поиск заказчиком осуществляется в ЕИС в «Личном кабинете заказчика» в разделе «Реестры» во вкладке «Реестры независимых гарантий» по номеру извещения или по номеру независимой гарантии.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29335" cy="2814789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549060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29334" cy="28147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6.88pt;height:221.64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Поиск предоставляет информацию о наличии или об отсутствии в реестре представленной участником независимой гарантии, а также условия, содержащиеся в независимой гарантии.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none"/>
        </w:rPr>
        <w:t xml:space="preserve">Типичные ошибки при предоставлении независимых гарантий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-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неверное указание наименования заказчика;</w:t>
      </w: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 неполное указание в независимой гарантии реквизитов заказчика, например, отсутствие номера телефона, адреса электронной почты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7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 неуказание в независимой гарантии наименования конкретного арбитражного суда, в котором может быть рассмотрен спор, вытекающий из независимой гарантии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;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8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 отсутствие в независимой гарантии условия о том, что гарант обязан рассмотреть требование об уплате денежной суммы по независимой гарантии не позднее 5 рабочих дней со дня, следующего за днем получения указанного требования и документов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9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 не представление участниками закупок независимых гарантий в целях обеспечения исполнения заявок, срок действия которых составляет менее месяца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 даты окончания срока подачи заявок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10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Указанные обстоятельства необходимо особо внимательно проверять заказчику при предоставлении независимых гарантий.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Важно: заказчику следует помнить, что участник может обжаловать в ФАС России обстоятельства выдачи независимой гарантии. В случае признания такой гарантии недействительной по вине банка, а не участника закупки, возможно наступление следующих последствий: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numPr>
          <w:ilvl w:val="0"/>
          <w:numId w:val="10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Заказчику придется повторно организовать процедуру выбора исполнителя.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numPr>
          <w:ilvl w:val="0"/>
          <w:numId w:val="11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 заказчика возникают дополнительные временные затраты и финансовые издержки, в том числе связанные с тем, что заказчик, отклонив заявку, был вынужден заключить контракт со «вторым» участником по более высокой цене.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numPr>
          <w:ilvl w:val="0"/>
          <w:numId w:val="12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Возможно нарушение сроков реализации проекта или поставки товара, выполнения работы, оказания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Слайд 6 Особенности независимых гарантий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none"/>
        </w:rPr>
        <w:t xml:space="preserve">1. Стадия подачи заявки и ее рассмотрение комиссией по осуществлению закупок.</w:t>
      </w: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 данной стадии участник обязан предоставить обеспечение заявки в размере, указанном в извещении об осуществлении закупки.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Такое обеспечение может быть представлено в виде независимой гарантии.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Срок действия данной независимой гарантии должен составлять -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none"/>
        </w:rPr>
        <w:t xml:space="preserve">не менее месяца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 даты окончания срока подачи заявок.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Заказчик обязан убедиться, что представленная участником гарантия внесена в соответствующий реестр и соответствует законодательным нормам, дополнительным требования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 правительства относительно оформления и содержания гарантии, на которые указано выше (гарантия должна содержать точные реквизиты сторон, предмет контракта, срок действия и фиксированную сумму выплаты, а также соответствовать правилам о форме документа).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случае отсутствия гарантии в реестре или несоответствия вышеуказанным требованиям, заказчик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  <w:t xml:space="preserve">обязан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отклонить заявку такого участника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обязанность предусмотрена п. 7 ч. 12 ст. 48 Закона № 44-ФЗ: основания для отклонения перечислены в докладе по сладу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none"/>
        </w:rPr>
        <w:t xml:space="preserve">Стадия заключения контракта.</w:t>
      </w: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 данной стадии участник должен до заключения контракта представить обеспечение исполнения контракта, которое может быть представлено в виде независимой гарантии.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Срок действия независимой гарантии должен превышать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  <w:t xml:space="preserve">не менее чем на один месяц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предусмотренный контрактом срок исполнения обязательств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.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11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Такое обеспечение участник закупки обязан разместить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одновременно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 подписанным проектом контракта на электронной площадке и в ЕИС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.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12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случае, если участником закупки, с которым заключается контракт, в установленный ст. 51 Закона № 44-ФЗ срок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(не позднее дня подписания контракта)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не представил обеспечение исполнения контракта или такое обеспечение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независимая гарантия 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не соответствовало установленным требованиям,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 которые указано выше,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заказчик должен: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- признать участника закупки уклонившимся от заключения контракта путем формирования и подписания с использованием ЕИС, а также размещения в ЕИС и на электронной площадке протокола об уклонении участника от заключения контракта;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сформировать и направить в соответствии с порядком, предусмотренном ч. 4 ст. 104 Закона № 44-ФЗ, в день размещения в ЕИС протокола обращение о включении информации о данном участнике в реестр недобросовестных поставщиков (РНП):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numPr>
          <w:ilvl w:val="0"/>
          <w:numId w:val="12"/>
        </w:numPr>
        <w:jc w:val="both"/>
        <w:tabs>
          <w:tab w:val="clear" w:pos="72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Заказчик формирует и направляет обращение в федеральный орган исполнительной власти, уполномоченный вести РНП, в установленный срок: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left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 в день размещения в единой информационной системе протокола об уклонении участника закупки от заключения контракта,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left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 не позднее двух рабочих дней, следующих за днем вступления в силу решения поставщика об одностороннем отказе от исполнения контракта, либо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left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 не позднее двух рабочих дней, следующих за днем поступления заказчику решения суда о расторжении контракта в связи с существенным нарушением поставщиком (подрядчиком, исполнителем) условий контракта.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numPr>
          <w:ilvl w:val="0"/>
          <w:numId w:val="12"/>
        </w:numPr>
        <w:jc w:val="both"/>
        <w:tabs>
          <w:tab w:val="clear" w:pos="72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Обращение должно содержать обоснование причин внесения информации в РНП, копии подтверждающих документов и предложение включить информацию о нарушившем участнике в реестр.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Неисполнение указанных требований, в том числе в установленный срок, влечет административную ответственность.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Слайд 7 Особенности независимых гарантий (продолжение)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none"/>
        </w:rPr>
        <w:t xml:space="preserve">3. Стадия исполнения контракта.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случае установления заказчиком в извещении и проекте контракта требований к гарантийным обязательствам участник должен предоставить обеспечение гарантийных обязательств, которое может быть представлено в виде независимой гарантии.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Срок действия независимой гарантии должен превышать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  <w:t xml:space="preserve">не менее чем на один месяц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предусмотренный контрактом срок исполнения обязательств.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13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Такое обеспечение участник закупки обязан предоставить в сроки, установленные контрактом. Оформление документа о приемке осуществляется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  <w:t xml:space="preserve">только после предоставления поставщиком (подрядчиком, исполнителем) такого обеспечения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 соответствии с настоящим Законом № 44-ФЗ в порядке и в сроки, которые установлены контрактом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14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Заказчи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 должен проверить в реестре наличие, представленной участником закупки гарантии, а также проверить гарантию на соответствие ее обязательным требованиям ст. 45 Закона № 44-ФЗ и дополнительным требованиям постановления Правительства РФ от 08.11.2013 № 1005.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случае, если участник закупки в срок,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установленный контрактом, не представил обеспечение исполнения гарантийных обязательств или такое обеспечение не соответствовало установленным требованиям, заказчик должен отказать в приемке поставляемого товара, выполняемой работы или оказываемой услуги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до предоставления участником такого обеспечения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  <w:t xml:space="preserve">Изменение независимой гарантии при исполнении контракта: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96"/>
        <w:ind w:firstLine="709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случаях, предусмотренных п. 1.2 ч. 1 ст. 95 и ч. 65.1 ст. 112 Закона № 44-ФЗ возможно увеличение цены контракта: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96"/>
        <w:ind w:firstLine="709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если по предложению заказчика увеличиваются предусмотренные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контрактом  количество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товара, объем работы или услуги не более чем на десять процентов;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96"/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если при исполнении такого контракта возникли независящие от сторон контракта обстоятельства, влекущие невозможность его исполнения.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Увеличение цены по закону контракта влечет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возникновение не обеспеченных ранее предоставленным обеспечением исполнения контракта обязательств, в связи с чем, такое обеспечение должно быть увеличено пропорционально стоимости новых обязательств поставщика (подрядчика, исполнителя), следовательно, и у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  <w:t xml:space="preserve">величен размер независимой гарантии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15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В данном случае поставщик (подрядчик, исполнитель)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shd w:val="clear" w:color="auto" w:fill="ffffff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  <w:shd w:val="clear" w:color="auto" w:fill="ffffff"/>
        </w:rPr>
        <w:t xml:space="preserve">олжен внести изменения в первоначальную гарантию или выпустить новую на общую сумму с учетом увеличения.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 предоставлении новой гарантии заказчик должен закрыть в ЕИС первоначальную гарантию.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«Личном кабинете заказчика» в ЕИС содержится раздел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«Обеспечение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исполнения контракта», в котором необходимо указать статус гарантии: «Не действует».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Ч. 7.1 ст. 96 Закона № 44-ФЗ устанавливает, что размер обеспечения исполнения контракта подлежит поэтапному уменьшению по мере выполнения отдельных этапов, предусмотренных контрактом.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Основанием для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  <w:t xml:space="preserve">уменьшения независимой гарантии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 таком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случе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будет направление информации заказчиком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 исполнении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ставщиком (подрядчиком, исполнителем) обязательств по поставке товара, выполнению работы (ее результатов), оказанию услуги или об исполнении им отдельного этапа контракта и стоимости исполненных обязательств для включения в соответствующий реестр контракто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которые предусмотрены контрактом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16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Одна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 такое уменьшение происходит только путем отказа заказчика от части своих прав по гарантии. Датой отказа признается дата включения в реестр контрактов информации об исполнении поставщиком (подрядчиком, исполнителем) обязательств в соответствующей части.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  <w:t xml:space="preserve">Оформлять новую гарантию или вносить в нее какие-либо изменения не требуется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17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уменьшения размера обеспечения исполнения контракта необходимо, чтобы одновременно соблюдались определенные условия: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заказчик принял и оплатил товары (работы, услуги) в сроки, предусмотренные контрактом. Информация об этом должна быть внесена в реестр контрактов;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у заказчика нет задолженностей по уплате начисленных по контракту неустоек (штрафов, пеней);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выполнены обязательства по контракту в размере полученного аванса (если он предусмотрен), а если расчеты (в части выплаты аванса) подлежат казначейскому сопровождению - в объеме, превышающем полученный аванс;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контракт не относится к случаям, когда такое уменьшение недопустимо (их устанавливает Правительство РФ в целях обеспечения обороноспособности и безопасности государства, защиты здоровья, прав и законных интересов граждан РФ)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18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Слайд 8 Взыскание денежных средств по независимой гарантии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  <w:t xml:space="preserve">1. У заказчика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pacing w:val="-18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  <w:t xml:space="preserve">есть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pacing w:val="-18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  <w:t xml:space="preserve">право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pacing w:val="-18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  <w:t xml:space="preserve">на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pacing w:val="-25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  <w:t xml:space="preserve">получение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pacing w:val="-1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  <w:t xml:space="preserve">выплат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pacing w:val="-16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  <w:t xml:space="preserve">по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pacing w:val="-2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  <w:t xml:space="preserve">гарантии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pacing w:val="-8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  <w:t xml:space="preserve">если: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  <w:highlight w:val="none"/>
        </w:rPr>
        <w:t xml:space="preserve">- участник закупки</w:t>
      </w:r>
      <w:r>
        <w:rPr>
          <w:rFonts w:ascii="Times New Roman" w:hAnsi="Times New Roman" w:eastAsia="Times New Roman" w:cs="Times New Roman"/>
          <w:color w:val="000000" w:themeColor="text1"/>
          <w:spacing w:val="-19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 подписал в срок</w:t>
      </w:r>
      <w:r>
        <w:rPr>
          <w:rFonts w:ascii="Times New Roman" w:hAnsi="Times New Roman" w:eastAsia="Times New Roman" w:cs="Times New Roman"/>
          <w:color w:val="000000" w:themeColor="text1"/>
          <w:spacing w:val="-13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контракт</w:t>
      </w:r>
      <w:r>
        <w:rPr>
          <w:rFonts w:ascii="Times New Roman" w:hAnsi="Times New Roman" w:eastAsia="Times New Roman" w:cs="Times New Roman"/>
          <w:color w:val="000000" w:themeColor="text1"/>
          <w:spacing w:val="-2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pacing w:val="-29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включен</w:t>
      </w:r>
      <w:r>
        <w:rPr>
          <w:rFonts w:ascii="Times New Roman" w:hAnsi="Times New Roman" w:eastAsia="Times New Roman" w:cs="Times New Roman"/>
          <w:color w:val="000000" w:themeColor="text1"/>
          <w:spacing w:val="-2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-28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5"/>
          <w:sz w:val="28"/>
          <w:szCs w:val="28"/>
          <w:highlight w:val="none"/>
        </w:rPr>
        <w:t xml:space="preserve">РНП</w:t>
      </w:r>
      <w:r>
        <w:rPr>
          <w:rFonts w:ascii="Times New Roman" w:hAnsi="Times New Roman" w:eastAsia="Times New Roman" w:cs="Times New Roman"/>
          <w:color w:val="000000" w:themeColor="text1"/>
          <w:spacing w:val="4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 поставщик</w:t>
      </w:r>
      <w:r>
        <w:rPr>
          <w:rFonts w:ascii="Times New Roman" w:hAnsi="Times New Roman" w:eastAsia="Times New Roman" w:cs="Times New Roman"/>
          <w:color w:val="000000" w:themeColor="text1"/>
          <w:spacing w:val="29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(подрядчик,</w:t>
      </w:r>
      <w:r>
        <w:rPr>
          <w:rFonts w:ascii="Times New Roman" w:hAnsi="Times New Roman" w:eastAsia="Times New Roman" w:cs="Times New Roman"/>
          <w:color w:val="000000" w:themeColor="text1"/>
          <w:spacing w:val="2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исполнитель)</w:t>
      </w:r>
      <w:r>
        <w:rPr>
          <w:rFonts w:ascii="Times New Roman" w:hAnsi="Times New Roman" w:eastAsia="Times New Roman" w:cs="Times New Roman"/>
          <w:color w:val="000000" w:themeColor="text1"/>
          <w:spacing w:val="26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</w:t>
      </w:r>
      <w:r>
        <w:rPr>
          <w:rFonts w:ascii="Times New Roman" w:hAnsi="Times New Roman" w:eastAsia="Times New Roman" w:cs="Times New Roman"/>
          <w:color w:val="000000" w:themeColor="text1"/>
          <w:spacing w:val="1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выполнил</w:t>
      </w:r>
      <w:r>
        <w:rPr>
          <w:rFonts w:ascii="Times New Roman" w:hAnsi="Times New Roman" w:eastAsia="Times New Roman" w:cs="Times New Roman"/>
          <w:color w:val="000000" w:themeColor="text1"/>
          <w:spacing w:val="2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обязательства</w:t>
      </w:r>
      <w:r>
        <w:rPr>
          <w:rFonts w:ascii="Times New Roman" w:hAnsi="Times New Roman" w:eastAsia="Times New Roman" w:cs="Times New Roman"/>
          <w:color w:val="000000" w:themeColor="text1"/>
          <w:spacing w:val="25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</w:t>
      </w:r>
      <w:r>
        <w:rPr>
          <w:rFonts w:ascii="Times New Roman" w:hAnsi="Times New Roman" w:eastAsia="Times New Roman" w:cs="Times New Roman"/>
          <w:color w:val="000000" w:themeColor="text1"/>
          <w:spacing w:val="1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  <w:highlight w:val="none"/>
        </w:rPr>
        <w:t xml:space="preserve">контракту,</w:t>
      </w:r>
      <w:r>
        <w:rPr>
          <w:rFonts w:ascii="Times New Roman" w:hAnsi="Times New Roman" w:eastAsia="Times New Roman" w:cs="Times New Roman"/>
          <w:color w:val="000000" w:themeColor="text1"/>
          <w:spacing w:val="5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либо</w:t>
      </w:r>
      <w:r>
        <w:rPr>
          <w:rFonts w:ascii="Times New Roman" w:hAnsi="Times New Roman" w:eastAsia="Times New Roman" w:cs="Times New Roman"/>
          <w:color w:val="000000" w:themeColor="text1"/>
          <w:spacing w:val="27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нарушил</w:t>
      </w:r>
      <w:r>
        <w:rPr>
          <w:rFonts w:ascii="Times New Roman" w:hAnsi="Times New Roman" w:eastAsia="Times New Roman" w:cs="Times New Roman"/>
          <w:color w:val="000000" w:themeColor="text1"/>
          <w:spacing w:val="37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  <w:highlight w:val="none"/>
        </w:rPr>
        <w:t xml:space="preserve">существе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нные</w:t>
      </w:r>
      <w:r>
        <w:rPr>
          <w:rFonts w:ascii="Times New Roman" w:hAnsi="Times New Roman" w:eastAsia="Times New Roman" w:cs="Times New Roman"/>
          <w:color w:val="000000" w:themeColor="text1"/>
          <w:spacing w:val="28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условия</w:t>
      </w:r>
      <w:r>
        <w:rPr>
          <w:rFonts w:ascii="Times New Roman" w:hAnsi="Times New Roman" w:eastAsia="Times New Roman" w:cs="Times New Roman"/>
          <w:color w:val="000000" w:themeColor="text1"/>
          <w:spacing w:val="4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  <w:t xml:space="preserve">контракт</w:t>
      </w:r>
      <w:r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участник</w:t>
      </w:r>
      <w:r>
        <w:rPr>
          <w:rFonts w:ascii="Times New Roman" w:hAnsi="Times New Roman" w:eastAsia="Times New Roman" w:cs="Times New Roman"/>
          <w:color w:val="000000" w:themeColor="text1"/>
          <w:spacing w:val="57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</w:t>
      </w:r>
      <w:r>
        <w:rPr>
          <w:rFonts w:ascii="Times New Roman" w:hAnsi="Times New Roman" w:eastAsia="Times New Roman" w:cs="Times New Roman"/>
          <w:color w:val="000000" w:themeColor="text1"/>
          <w:spacing w:val="-2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выплатил</w:t>
      </w:r>
      <w:r>
        <w:rPr>
          <w:rFonts w:ascii="Times New Roman" w:hAnsi="Times New Roman" w:eastAsia="Times New Roman" w:cs="Times New Roman"/>
          <w:color w:val="000000" w:themeColor="text1"/>
          <w:spacing w:val="-13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неустойку;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 наступил</w:t>
      </w:r>
      <w:r>
        <w:rPr>
          <w:rFonts w:ascii="Times New Roman" w:hAnsi="Times New Roman" w:eastAsia="Times New Roman" w:cs="Times New Roman"/>
          <w:color w:val="000000" w:themeColor="text1"/>
          <w:spacing w:val="-23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гарантийный</w:t>
      </w:r>
      <w:r>
        <w:rPr>
          <w:rFonts w:ascii="Times New Roman" w:hAnsi="Times New Roman" w:eastAsia="Times New Roman" w:cs="Times New Roman"/>
          <w:color w:val="000000" w:themeColor="text1"/>
          <w:spacing w:val="-2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  <w:t xml:space="preserve">случай,</w:t>
      </w:r>
      <w:r>
        <w:rPr>
          <w:rFonts w:ascii="Times New Roman" w:hAnsi="Times New Roman" w:eastAsia="Times New Roman" w:cs="Times New Roman"/>
          <w:color w:val="000000" w:themeColor="text1"/>
          <w:spacing w:val="-3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pacing w:val="-37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участник</w:t>
      </w:r>
      <w:r>
        <w:rPr>
          <w:rFonts w:ascii="Times New Roman" w:hAnsi="Times New Roman" w:eastAsia="Times New Roman" w:cs="Times New Roman"/>
          <w:color w:val="000000" w:themeColor="text1"/>
          <w:spacing w:val="-2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</w:t>
      </w:r>
      <w:r>
        <w:rPr>
          <w:rFonts w:ascii="Times New Roman" w:hAnsi="Times New Roman" w:eastAsia="Times New Roman" w:cs="Times New Roman"/>
          <w:color w:val="000000" w:themeColor="text1"/>
          <w:spacing w:val="-3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исполнил</w:t>
      </w:r>
      <w:r>
        <w:rPr>
          <w:rFonts w:ascii="Times New Roman" w:hAnsi="Times New Roman" w:eastAsia="Times New Roman" w:cs="Times New Roman"/>
          <w:color w:val="000000" w:themeColor="text1"/>
          <w:spacing w:val="-27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гарантийные</w:t>
      </w:r>
      <w:r>
        <w:rPr>
          <w:rFonts w:ascii="Times New Roman" w:hAnsi="Times New Roman" w:eastAsia="Times New Roman" w:cs="Times New Roman"/>
          <w:color w:val="000000" w:themeColor="text1"/>
          <w:spacing w:val="-19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обязательства.</w:t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Минфином России также разъяснено, что из средств независимой гарантии, предоставляемой в качестве обеспечения исполнения контракта, можно удержать неустойку, начисленную за нарушение обязательств поставщиком (подрядчиком, исполнителем)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19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  <w:t xml:space="preserve">2. Для получения выплаты заказчику необходимо обратиться в банк или иную кредитную организацию, выдавшую независимую гарантию.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этого необходимо собрать полный пакет документов.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Перечень документов, который заказчик обязан предоставить банку для получения выплаты, а также полный алгоритм действий, содержится в постановлении Правительства РФ от 08.11.2013 № 1005.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 документам относятся: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-расчет суммы требования;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-платежное поручение с отметкой гаранта или Федерального казначейства о перечислении аванса (при возврате аванса по контракту);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-документ, подтверждающий наступление гарантийного случая согласно контракту (при гарантийном сроке);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-документ, подтверждающий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полномочия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подписавшего требование (доверенность), если лицо не указано в ЕГРЮЛ как уполномоченное.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Заказчик должен обратиться</w:t>
      </w:r>
      <w:r>
        <w:rPr>
          <w:rFonts w:ascii="Times New Roman" w:hAnsi="Times New Roman" w:eastAsia="Times New Roman" w:cs="Times New Roman"/>
          <w:color w:val="000000" w:themeColor="text1"/>
          <w:spacing w:val="56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pacing w:val="26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требованием</w:t>
      </w:r>
      <w:r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</w:t>
      </w:r>
      <w:r>
        <w:rPr>
          <w:rFonts w:ascii="Times New Roman" w:hAnsi="Times New Roman" w:eastAsia="Times New Roman" w:cs="Times New Roman"/>
          <w:color w:val="000000" w:themeColor="text1"/>
          <w:spacing w:val="39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  <w:highlight w:val="none"/>
        </w:rPr>
        <w:t xml:space="preserve">осуществлении</w:t>
      </w:r>
      <w:r>
        <w:rPr>
          <w:rFonts w:ascii="Times New Roman" w:hAnsi="Times New Roman" w:eastAsia="Times New Roman" w:cs="Times New Roman"/>
          <w:color w:val="000000" w:themeColor="text1"/>
          <w:spacing w:val="4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уплаты</w:t>
      </w:r>
      <w:r>
        <w:rPr>
          <w:rFonts w:ascii="Times New Roman" w:hAnsi="Times New Roman" w:eastAsia="Times New Roman" w:cs="Times New Roman"/>
          <w:color w:val="000000" w:themeColor="text1"/>
          <w:spacing w:val="5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</w:t>
      </w:r>
      <w:r>
        <w:rPr>
          <w:rFonts w:ascii="Times New Roman" w:hAnsi="Times New Roman" w:eastAsia="Times New Roman" w:cs="Times New Roman"/>
          <w:color w:val="000000" w:themeColor="text1"/>
          <w:spacing w:val="26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гарантии</w:t>
      </w:r>
      <w:r>
        <w:rPr>
          <w:rFonts w:ascii="Times New Roman" w:hAnsi="Times New Roman" w:eastAsia="Times New Roman" w:cs="Times New Roman"/>
          <w:color w:val="000000" w:themeColor="text1"/>
          <w:spacing w:val="43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банк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до окончания срока действия независимой гарантии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.</w:t>
      </w:r>
      <w:r>
        <w:rPr>
          <w:rStyle w:val="1098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20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Если заказчик обратится позже указанного срока, то банк откажет в выплате.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111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Основания отказа банком в выплате заказчику установлены в</w:t>
      </w:r>
      <w:r>
        <w:rPr>
          <w:rFonts w:ascii="Times New Roman" w:hAnsi="Times New Roman" w:eastAsia="Times New Roman" w:cs="Times New Roman"/>
          <w:color w:val="000000" w:themeColor="text1"/>
          <w:spacing w:val="1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ст.</w:t>
      </w:r>
      <w:r>
        <w:rPr>
          <w:rFonts w:ascii="Times New Roman" w:hAnsi="Times New Roman" w:eastAsia="Times New Roman" w:cs="Times New Roman"/>
          <w:color w:val="000000" w:themeColor="text1"/>
          <w:spacing w:val="26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376</w:t>
      </w:r>
      <w:r>
        <w:rPr>
          <w:rFonts w:ascii="Times New Roman" w:hAnsi="Times New Roman" w:eastAsia="Times New Roman" w:cs="Times New Roman"/>
          <w:color w:val="000000" w:themeColor="text1"/>
          <w:spacing w:val="6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ГК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РФ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(если обращение и документы с недостатками, представлены с нарушением условий гарантии – отказ в выплате).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  <w:t xml:space="preserve">3. Рассмотрение банком требования.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pacing w:val="1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Срок рассмотрения требования осуществления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выплаты по независимой гарантии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составляет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8"/>
          <w:szCs w:val="28"/>
          <w:highlight w:val="none"/>
        </w:rPr>
        <w:t xml:space="preserve">не более 5 рабочих дней со дня, следующего за днем получения такого требования и документов банком.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случае отказа банка в выплате, заказчик вправе обратиться с иском к банку в пределах общего срока исковой давности (три года)</w:t>
      </w:r>
      <w:r>
        <w:rPr>
          <w:rStyle w:val="1098"/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footnoteReference w:id="21"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Данный иск подается в арбитражный суд по месту нахождения заказчика.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Слайд 9 Обеспечение исполнения контракта - денежные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средства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Arial" w:hAnsi="Arial" w:eastAsia="Arial" w:cs="Arial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заключении дополню про второй способ обеспечения исполнения контракта – внесение денежных средств на спец счет заказчика. </w:t>
      </w:r>
      <w:r>
        <w:rPr>
          <w:rFonts w:ascii="Arial" w:hAnsi="Arial" w:eastAsia="Arial" w:cs="Arial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 общему правилу, в случае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исполнения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контракта в полном объеме, заказчиком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возвращаются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денежные средств, внесенные в качестве обеспечения исполнения контракта.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Необходимость направления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поставщиком (подрядчиком, исполнителем)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заявления в случае полного исполнения обязательств, предусмотренных контрактом, Законом N 44-ФЗ не предусмотрена.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Arial" w:hAnsi="Arial" w:eastAsia="Arial" w:cs="Arial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Денежные средства возвращает заказчик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путем их перечисления на счет поставщика, указанный в контракте.</w:t>
      </w:r>
      <w:r>
        <w:rPr>
          <w:rFonts w:ascii="Arial" w:hAnsi="Arial" w:eastAsia="Arial" w:cs="Arial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Срок возврата денежных средств: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Arial" w:hAnsi="Arial" w:eastAsia="Arial" w:cs="Arial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 позднее 30 дней с даты исполнения поставщиком (подрядчиком, исполнителем) обязательств, предусмотренных контрактом,</w:t>
      </w:r>
      <w:r>
        <w:rPr>
          <w:rFonts w:ascii="Arial" w:hAnsi="Arial" w:eastAsia="Arial" w:cs="Arial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 не более 15 дней – если в закупке было установлено преимущество для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СМП, СОНО.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случае увеличения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цены контракта,</w:t>
      </w:r>
      <w:r>
        <w:rPr>
          <w:rFonts w:ascii="Arial" w:hAnsi="Arial" w:eastAsia="Arial" w:cs="Arial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поставщик (подрядчик, исполнитель)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вносит на счет заказчика денежные средства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в размере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пропорциональном стоимости новых обязательств.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 направлении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заказчиком информаци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 исполнении обязательств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контракту (отдельного этапа)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 стоимости исполненных обязательств для включения в реестр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контрактов,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то поставщику (подрядчику, исполнителю) должны быть возвращены заказчиком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денежные средства в сумме, на которую уменьшен размер обеспечения исполнения контракта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Возвращают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«лишнее»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размере, пропорциональном размеру уменьшения цены контракта.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 этом сказано в части 1.4 статьи 95 Закона № 44-ФЗ. Расчет уменьшения аналогичен расчету увеличения, только в обратную сторону.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Arial" w:hAnsi="Arial" w:eastAsia="Arial" w:cs="Arial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Необходимо: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множить сумму уменьшения на процент обеспечения исполнения контракта.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Эту сумму заказчик возвращает исполнителю, если он перечислял денежные средства на счет заказчика.</w:t>
      </w:r>
      <w:r>
        <w:rPr>
          <w:rFonts w:ascii="Arial" w:hAnsi="Arial" w:eastAsia="Arial" w:cs="Arial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Срок возврата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аналогич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ен сроку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возврат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денежных средств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при полном исполнении обязательств по контракту.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  <w:t xml:space="preserve">Если поставщик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  <w:t xml:space="preserve">(подрядчик, исполнитель) нарушил обязательства: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hyperlink r:id="rId12" w:tooltip="https://internet.garant.ru/#/document/70353464/entry/0" w:anchor="/document/70353464/entry/0" w:history="1">
        <w:r>
          <w:rPr>
            <w:rStyle w:val="1095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№ 44-ФЗ не содержит норм, в соответствии с которыми заказчик может удерживать пени из обеспечения исполнения контракта.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соответствии с судебной практикой если поставщиком (подрядчиком исполнителем) обязательства исполнены с просрочкой, неустойка в добровольном порядке не уплачена, то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заказчик вправе удержать часть денежных средств в размере неустойки, подлежащей взысканию.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признания правомерности таких действий заказчика необходимо, чтобы право заказчика на удержание сумм неустоек из обеспечения исполнения контракта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  <w:t xml:space="preserve"> было указано в самом контракте.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таком случае обеспечительный платеж удерживается заказчиком в размере, равном размеру имущественных требований заказчика к исполнителю (сумме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неустойки),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если иное не предусмотрено контрактом (п. 1 ст. 381.1 ГК РФ, п.29 "Обзора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нужд")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Алгоритм действий заказчика при нарушении поставщиком (подрядчиком, исполнителем) обязательств и принятии решения об удержании денежных средств из обеспечения исполнения контракта: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(в Законе №44-ФЗ такого порядка нет, в связи с чем можем только рекомендовать):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1.Убедиться, что в контракте предусмотрено обеспечение исполнения контракта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2.Проверить условия контракта, позволяющие удерживать денежные средства из обеспечения исполнения контракта в случае нарушения обязательств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(если такого условия нет, то удерживать нельзя).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3.Зафиксировать факт нарушения обязательств поставщиком (подрядчиком, исполнителем) и направить поставщику требование об уплате неустоек (штрафов, пеней) (в соответствии с частью 6 статьи 34 Закона N 44-ФЗ).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 Если поставщик (подрядчик, исполнитель) не оплатил неустойку в установленный срок, заказчик вправе удержать денежные средства из обеспечения исполнения контракта в размере, не превышающем размер имущественных требований (суммы неустойки).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5.Принять решение об удержании неуплаченной суммы неустойки из обеспечения исполнения контракта и оформить это внутренним распорядительным документом заказчика (приказом, распоряжением) (по аналогии с Постановлением №783).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6.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Оформить акт удержания денежных средств из обеспечения исполнения контракта.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7.Направить поставщику (подрядчику, исполнителю) уведомление о произведенном удержании с обоснованием и копиями соответствующих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8.Отразить удержание суммы в отчетности по контракту (разместить информацию в ЕИС - в реестре контрактов).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РИСКИ: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сли исполнитель не согласен с фактом удержания, размером, спор может быть разрешен в суде. Заказчику необходимо иметь все документы и основания, подтверждающие законность такого удержания.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964" w:right="567" w:bottom="96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96"/>
        <w:jc w:val="both"/>
        <w:spacing w:after="0"/>
      </w:pPr>
      <w:r>
        <w:rPr>
          <w:rStyle w:val="10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ч. 4 ст. 44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/>
    </w:p>
  </w:footnote>
  <w:footnote w:id="3">
    <w:p>
      <w:pPr>
        <w:pStyle w:val="1096"/>
        <w:jc w:val="both"/>
        <w:spacing w:after="0"/>
        <w:rPr>
          <w:sz w:val="20"/>
          <w:szCs w:val="20"/>
        </w:rPr>
      </w:pPr>
      <w:r>
        <w:rPr>
          <w:rStyle w:val="10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постановление Правительства РФ от 08.11.2013 № 1005 «О независимых гарантиях, используемых для целей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0"/>
          <w:szCs w:val="20"/>
        </w:rPr>
      </w:r>
    </w:p>
  </w:footnote>
  <w:footnote w:id="4">
    <w:p>
      <w:pPr>
        <w:pStyle w:val="1096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Style w:val="10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ч. 8 ст. 45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hAnsi="Times New Roman" w:cs="Times New Roman"/>
          <w:sz w:val="20"/>
          <w:szCs w:val="20"/>
        </w:rPr>
      </w:r>
    </w:p>
  </w:footnote>
  <w:footnote w:id="5">
    <w:p>
      <w:pPr>
        <w:pStyle w:val="1096"/>
        <w:jc w:val="both"/>
        <w:spacing w:after="0"/>
      </w:pPr>
      <w:r>
        <w:rPr>
          <w:rStyle w:val="1098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ч. 6 ст. 45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/>
    </w:p>
  </w:footnote>
  <w:footnote w:id="6">
    <w:p>
      <w:pPr>
        <w:pStyle w:val="1096"/>
        <w:spacing w:after="0"/>
      </w:pPr>
      <w:r>
        <w:rPr>
          <w:rStyle w:val="10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п. 2 ч. 5 ст. 44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/>
    </w:p>
  </w:footnote>
  <w:footnote w:id="7">
    <w:p>
      <w:pPr>
        <w:pStyle w:val="1096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Style w:val="109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Решение УФАС по Свердловской области от 27.10.2022 по жалобе № 066/06/106-3549/2022 (закупка № 0162200011822003162)</w:t>
      </w:r>
      <w:r>
        <w:rPr>
          <w:rFonts w:ascii="Times New Roman" w:hAnsi="Times New Roman" w:cs="Times New Roman"/>
          <w:sz w:val="20"/>
          <w:szCs w:val="20"/>
        </w:rPr>
      </w:r>
    </w:p>
  </w:footnote>
  <w:footnote w:id="8">
    <w:p>
      <w:pPr>
        <w:pStyle w:val="1096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Style w:val="109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Решение УФАС по Ставропольскому краю от 14.12.2022 по жалобе № 026/06/106-2259/2022 (закупка № 0121200004722001195)</w:t>
      </w:r>
      <w:r>
        <w:rPr>
          <w:rFonts w:ascii="Times New Roman" w:hAnsi="Times New Roman" w:cs="Times New Roman"/>
          <w:sz w:val="20"/>
          <w:szCs w:val="20"/>
        </w:rPr>
      </w:r>
    </w:p>
  </w:footnote>
  <w:footnote w:id="9">
    <w:p>
      <w:pPr>
        <w:pStyle w:val="1096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Style w:val="109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Решение Новосибирского УФАС России от 03.11.2022 N 054/06/48-1816/2022 (закупка 0851200000622006937)</w:t>
      </w:r>
      <w:r>
        <w:rPr>
          <w:rFonts w:ascii="Times New Roman" w:hAnsi="Times New Roman" w:cs="Times New Roman"/>
          <w:sz w:val="20"/>
          <w:szCs w:val="20"/>
        </w:rPr>
      </w:r>
    </w:p>
  </w:footnote>
  <w:footnote w:id="10">
    <w:p>
      <w:pPr>
        <w:pStyle w:val="1096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Style w:val="109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Решение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Арбитражного суда Новосибирской области от 22.01.2024 года по делу № А45-30948/2023</w:t>
      </w:r>
      <w:r>
        <w:rPr>
          <w:rFonts w:ascii="Times New Roman" w:hAnsi="Times New Roman" w:cs="Times New Roman"/>
          <w:sz w:val="20"/>
          <w:szCs w:val="20"/>
        </w:rPr>
      </w:r>
    </w:p>
  </w:footnote>
  <w:footnote w:id="11">
    <w:p>
      <w:pPr>
        <w:pStyle w:val="1096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Style w:val="1098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ч. 3 ст. 96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hAnsi="Times New Roman" w:cs="Times New Roman"/>
          <w:sz w:val="20"/>
          <w:szCs w:val="20"/>
        </w:rPr>
      </w:r>
    </w:p>
  </w:footnote>
  <w:footnote w:id="12">
    <w:p>
      <w:pPr>
        <w:pStyle w:val="1096"/>
        <w:spacing w:after="0"/>
      </w:pPr>
      <w:r>
        <w:rPr>
          <w:rStyle w:val="109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п. 1 ч. 3 ст. 51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/>
    </w:p>
  </w:footnote>
  <w:footnote w:id="13">
    <w:p>
      <w:pPr>
        <w:pStyle w:val="1096"/>
        <w:spacing w:after="0"/>
      </w:pPr>
      <w:r>
        <w:rPr>
          <w:rStyle w:val="1098"/>
        </w:rPr>
        <w:footnoteRef/>
      </w:r>
      <w:r>
        <w:t xml:space="preserve"> ч. 3 ст. 96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/>
    </w:p>
  </w:footnote>
  <w:footnote w:id="14">
    <w:p>
      <w:pPr>
        <w:pStyle w:val="1096"/>
        <w:spacing w:after="0"/>
      </w:pPr>
      <w:r>
        <w:rPr>
          <w:rStyle w:val="1098"/>
        </w:rPr>
        <w:footnoteRef/>
      </w:r>
      <w:r>
        <w:t xml:space="preserve"> ч. 7.1 ст. </w:t>
      </w:r>
      <w:r>
        <w:t xml:space="preserve">94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Федерального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/>
    </w:p>
  </w:footnote>
  <w:footnote w:id="15">
    <w:p>
      <w:pPr>
        <w:spacing w:after="0" w:line="240" w:lineRule="auto"/>
        <w:shd w:val="clear" w:color="ffffff" w:fill="ffffff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09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Письмо Минфина РФ от 13.09.2024 N 24-06-07/87436</w:t>
      </w:r>
      <w:r>
        <w:rPr>
          <w:rFonts w:ascii="Times New Roman" w:hAnsi="Times New Roman" w:cs="Times New Roman"/>
          <w:sz w:val="20"/>
          <w:szCs w:val="20"/>
        </w:rPr>
      </w:r>
    </w:p>
  </w:footnote>
  <w:footnote w:id="16">
    <w:p>
      <w:pPr>
        <w:pStyle w:val="1096"/>
        <w:spacing w:after="0"/>
      </w:pPr>
      <w:r>
        <w:rPr>
          <w:rStyle w:val="10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Письмо Минфина РФ</w:t>
      </w:r>
      <w:r>
        <w:t xml:space="preserve"> от 06.10.2023 № 24-06-07/95353</w:t>
      </w:r>
      <w:r/>
    </w:p>
  </w:footnote>
  <w:footnote w:id="17">
    <w:p>
      <w:pPr>
        <w:pStyle w:val="1096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Style w:val="109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Письма Минфина России от 27.04.2020 N 24-03-07/34139, от 27.05.2020 N 24-03-07/44424</w:t>
      </w:r>
      <w:r>
        <w:rPr>
          <w:rFonts w:ascii="Times New Roman" w:hAnsi="Times New Roman" w:cs="Times New Roman"/>
          <w:sz w:val="20"/>
          <w:szCs w:val="20"/>
        </w:rPr>
      </w:r>
    </w:p>
  </w:footnote>
  <w:footnote w:id="18">
    <w:p>
      <w:pPr>
        <w:pStyle w:val="1096"/>
        <w:jc w:val="both"/>
        <w:spacing w:after="0"/>
        <w:rPr>
          <w:sz w:val="20"/>
          <w:szCs w:val="20"/>
        </w:rPr>
      </w:pPr>
      <w:r>
        <w:rPr>
          <w:rStyle w:val="10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ч. 7, 7.2, 7.3 ст. 96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sz w:val="20"/>
          <w:szCs w:val="20"/>
        </w:rPr>
      </w:r>
    </w:p>
  </w:footnote>
  <w:footnote w:id="19">
    <w:p>
      <w:pPr>
        <w:pStyle w:val="1096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Style w:val="109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Письмо Минфина России от 06.10.2023 N 24-06-07/95353</w:t>
      </w:r>
      <w:r>
        <w:rPr>
          <w:rFonts w:ascii="Times New Roman" w:hAnsi="Times New Roman" w:cs="Times New Roman"/>
          <w:sz w:val="20"/>
          <w:szCs w:val="20"/>
        </w:rPr>
      </w:r>
    </w:p>
  </w:footnote>
  <w:footnote w:id="20">
    <w:p>
      <w:pPr>
        <w:pStyle w:val="1096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Style w:val="10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п. 2 ст. 374 ГК РФ</w:t>
      </w:r>
      <w:r>
        <w:rPr>
          <w:rFonts w:ascii="Times New Roman" w:hAnsi="Times New Roman" w:cs="Times New Roman"/>
          <w:sz w:val="20"/>
          <w:szCs w:val="20"/>
        </w:rPr>
      </w:r>
    </w:p>
  </w:footnote>
  <w:footnote w:id="21">
    <w:p>
      <w:pPr>
        <w:pStyle w:val="1096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Style w:val="1098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"Обзор судебной практики разрешения споров, связанных с применением законодательства о независимой гарантии"(утв. Президиумом Верховного Суда РФ 05.06.2019)</w:t>
      </w:r>
      <w:r>
        <w:rPr>
          <w:rFonts w:ascii="Times New Roman" w:hAnsi="Times New Roman" w:cs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80808"/>
        <w:spacing w:val="-5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1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6"/>
    <w:lvlOverride w:ilvl="0">
      <w:lvl w:ilvl="0">
        <w:start w:val="1"/>
        <w:numFmt w:val="bullet"/>
        <w:isLgl w:val="false"/>
        <w:suff w:val="tab"/>
        <w:lvlText w:val="o"/>
        <w:lvlJc w:val="left"/>
        <w:pPr>
          <w:ind w:left="720" w:hanging="360"/>
          <w:tabs>
            <w:tab w:val="num" w:pos="720" w:leader="none"/>
          </w:tabs>
        </w:pPr>
        <w:rPr>
          <w:rFonts w:hint="default" w:ascii="Courier New" w:hAnsi="Courier New"/>
          <w:sz w:val="20"/>
        </w:rPr>
      </w:lvl>
    </w:lvlOverride>
  </w:num>
  <w:num w:numId="11">
    <w:abstractNumId w:val="6"/>
    <w:lvlOverride w:ilvl="0">
      <w:lvl w:ilvl="0">
        <w:start w:val="1"/>
        <w:numFmt w:val="bullet"/>
        <w:isLgl w:val="false"/>
        <w:suff w:val="tab"/>
        <w:lvlText w:val="o"/>
        <w:lvlJc w:val="left"/>
        <w:pPr>
          <w:ind w:left="720" w:hanging="360"/>
          <w:tabs>
            <w:tab w:val="num" w:pos="720" w:leader="none"/>
          </w:tabs>
        </w:pPr>
        <w:rPr>
          <w:rFonts w:hint="default" w:ascii="Courier New" w:hAnsi="Courier New"/>
          <w:sz w:val="20"/>
        </w:rPr>
      </w:lvl>
    </w:lvlOverride>
  </w:num>
  <w:num w:numId="12">
    <w:abstractNumId w:val="6"/>
    <w:lvlOverride w:ilvl="0">
      <w:lvl w:ilvl="0">
        <w:start w:val="1"/>
        <w:numFmt w:val="bullet"/>
        <w:isLgl w:val="false"/>
        <w:suff w:val="tab"/>
        <w:lvlText w:val="o"/>
        <w:lvlJc w:val="left"/>
        <w:pPr>
          <w:ind w:left="720" w:hanging="360"/>
          <w:tabs>
            <w:tab w:val="num" w:pos="720" w:leader="none"/>
          </w:tabs>
        </w:pPr>
        <w:rPr>
          <w:rFonts w:hint="default" w:ascii="Courier New" w:hAnsi="Courier New"/>
          <w:sz w:val="20"/>
        </w:rPr>
      </w:lvl>
    </w:lvlOverride>
  </w:num>
  <w:num w:numId="13">
    <w:abstractNumId w:val="6"/>
    <w:lvlOverride w:ilvl="0">
      <w:lvl w:ilvl="0">
        <w:start w:val="1"/>
        <w:numFmt w:val="bullet"/>
        <w:isLgl w:val="false"/>
        <w:suff w:val="tab"/>
        <w:lvlText w:val="o"/>
        <w:lvlJc w:val="left"/>
        <w:pPr>
          <w:ind w:left="720" w:hanging="360"/>
          <w:tabs>
            <w:tab w:val="num" w:pos="720" w:leader="none"/>
          </w:tabs>
        </w:pPr>
        <w:rPr>
          <w:rFonts w:hint="default" w:ascii="Courier New" w:hAnsi="Courier New"/>
          <w:sz w:val="20"/>
        </w:rPr>
      </w:lvl>
    </w:lvlOverride>
  </w:num>
  <w:num w:numId="14">
    <w:abstractNumId w:val="3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16" w:default="1">
    <w:name w:val="Normal"/>
    <w:qFormat/>
  </w:style>
  <w:style w:type="paragraph" w:styleId="917">
    <w:name w:val="Heading 1"/>
    <w:basedOn w:val="916"/>
    <w:next w:val="916"/>
    <w:link w:val="94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918">
    <w:name w:val="Heading 2"/>
    <w:basedOn w:val="916"/>
    <w:next w:val="916"/>
    <w:link w:val="94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919">
    <w:name w:val="Heading 3"/>
    <w:basedOn w:val="916"/>
    <w:next w:val="916"/>
    <w:link w:val="94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920">
    <w:name w:val="Heading 4"/>
    <w:basedOn w:val="916"/>
    <w:next w:val="916"/>
    <w:link w:val="94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21">
    <w:name w:val="Heading 5"/>
    <w:basedOn w:val="916"/>
    <w:next w:val="916"/>
    <w:link w:val="95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22">
    <w:name w:val="Heading 6"/>
    <w:basedOn w:val="916"/>
    <w:next w:val="916"/>
    <w:link w:val="95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923">
    <w:name w:val="Heading 7"/>
    <w:basedOn w:val="916"/>
    <w:next w:val="916"/>
    <w:link w:val="95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24">
    <w:name w:val="Heading 8"/>
    <w:basedOn w:val="916"/>
    <w:next w:val="916"/>
    <w:link w:val="95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925">
    <w:name w:val="Heading 9"/>
    <w:basedOn w:val="916"/>
    <w:next w:val="916"/>
    <w:link w:val="95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6" w:default="1">
    <w:name w:val="Default Paragraph Font"/>
    <w:uiPriority w:val="1"/>
    <w:semiHidden/>
    <w:unhideWhenUsed/>
  </w:style>
  <w:style w:type="table" w:styleId="9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8" w:default="1">
    <w:name w:val="No List"/>
    <w:uiPriority w:val="99"/>
    <w:semiHidden/>
    <w:unhideWhenUsed/>
  </w:style>
  <w:style w:type="character" w:styleId="929" w:customStyle="1">
    <w:name w:val="Heading 1 Char"/>
    <w:basedOn w:val="926"/>
    <w:uiPriority w:val="9"/>
    <w:rPr>
      <w:rFonts w:ascii="Arial" w:hAnsi="Arial" w:eastAsia="Arial" w:cs="Arial"/>
      <w:sz w:val="40"/>
      <w:szCs w:val="40"/>
    </w:rPr>
  </w:style>
  <w:style w:type="character" w:styleId="930" w:customStyle="1">
    <w:name w:val="Heading 2 Char"/>
    <w:basedOn w:val="926"/>
    <w:uiPriority w:val="9"/>
    <w:rPr>
      <w:rFonts w:ascii="Arial" w:hAnsi="Arial" w:eastAsia="Arial" w:cs="Arial"/>
      <w:sz w:val="34"/>
    </w:rPr>
  </w:style>
  <w:style w:type="character" w:styleId="931" w:customStyle="1">
    <w:name w:val="Heading 3 Char"/>
    <w:basedOn w:val="926"/>
    <w:uiPriority w:val="9"/>
    <w:rPr>
      <w:rFonts w:ascii="Arial" w:hAnsi="Arial" w:eastAsia="Arial" w:cs="Arial"/>
      <w:sz w:val="30"/>
      <w:szCs w:val="30"/>
    </w:rPr>
  </w:style>
  <w:style w:type="character" w:styleId="932" w:customStyle="1">
    <w:name w:val="Heading 4 Char"/>
    <w:basedOn w:val="926"/>
    <w:uiPriority w:val="9"/>
    <w:rPr>
      <w:rFonts w:ascii="Arial" w:hAnsi="Arial" w:eastAsia="Arial" w:cs="Arial"/>
      <w:b/>
      <w:bCs/>
      <w:sz w:val="26"/>
      <w:szCs w:val="26"/>
    </w:rPr>
  </w:style>
  <w:style w:type="character" w:styleId="933" w:customStyle="1">
    <w:name w:val="Heading 5 Char"/>
    <w:basedOn w:val="926"/>
    <w:uiPriority w:val="9"/>
    <w:rPr>
      <w:rFonts w:ascii="Arial" w:hAnsi="Arial" w:eastAsia="Arial" w:cs="Arial"/>
      <w:b/>
      <w:bCs/>
      <w:sz w:val="24"/>
      <w:szCs w:val="24"/>
    </w:rPr>
  </w:style>
  <w:style w:type="character" w:styleId="934" w:customStyle="1">
    <w:name w:val="Heading 6 Char"/>
    <w:basedOn w:val="926"/>
    <w:uiPriority w:val="9"/>
    <w:rPr>
      <w:rFonts w:ascii="Arial" w:hAnsi="Arial" w:eastAsia="Arial" w:cs="Arial"/>
      <w:b/>
      <w:bCs/>
      <w:sz w:val="22"/>
      <w:szCs w:val="22"/>
    </w:rPr>
  </w:style>
  <w:style w:type="character" w:styleId="935" w:customStyle="1">
    <w:name w:val="Heading 7 Char"/>
    <w:basedOn w:val="9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36" w:customStyle="1">
    <w:name w:val="Heading 8 Char"/>
    <w:basedOn w:val="926"/>
    <w:uiPriority w:val="9"/>
    <w:rPr>
      <w:rFonts w:ascii="Arial" w:hAnsi="Arial" w:eastAsia="Arial" w:cs="Arial"/>
      <w:i/>
      <w:iCs/>
      <w:sz w:val="22"/>
      <w:szCs w:val="22"/>
    </w:rPr>
  </w:style>
  <w:style w:type="character" w:styleId="937" w:customStyle="1">
    <w:name w:val="Heading 9 Char"/>
    <w:basedOn w:val="926"/>
    <w:uiPriority w:val="9"/>
    <w:rPr>
      <w:rFonts w:ascii="Arial" w:hAnsi="Arial" w:eastAsia="Arial" w:cs="Arial"/>
      <w:i/>
      <w:iCs/>
      <w:sz w:val="21"/>
      <w:szCs w:val="21"/>
    </w:rPr>
  </w:style>
  <w:style w:type="character" w:styleId="938" w:customStyle="1">
    <w:name w:val="Title Char"/>
    <w:basedOn w:val="926"/>
    <w:uiPriority w:val="10"/>
    <w:rPr>
      <w:sz w:val="48"/>
      <w:szCs w:val="48"/>
    </w:rPr>
  </w:style>
  <w:style w:type="character" w:styleId="939" w:customStyle="1">
    <w:name w:val="Subtitle Char"/>
    <w:basedOn w:val="926"/>
    <w:uiPriority w:val="11"/>
    <w:rPr>
      <w:sz w:val="24"/>
      <w:szCs w:val="24"/>
    </w:rPr>
  </w:style>
  <w:style w:type="character" w:styleId="940" w:customStyle="1">
    <w:name w:val="Quote Char"/>
    <w:uiPriority w:val="29"/>
    <w:rPr>
      <w:i/>
    </w:rPr>
  </w:style>
  <w:style w:type="character" w:styleId="941" w:customStyle="1">
    <w:name w:val="Intense Quote Char"/>
    <w:uiPriority w:val="30"/>
    <w:rPr>
      <w:i/>
    </w:rPr>
  </w:style>
  <w:style w:type="character" w:styleId="942" w:customStyle="1">
    <w:name w:val="Header Char"/>
    <w:basedOn w:val="926"/>
    <w:uiPriority w:val="99"/>
  </w:style>
  <w:style w:type="character" w:styleId="943" w:customStyle="1">
    <w:name w:val="Caption Char"/>
    <w:uiPriority w:val="99"/>
  </w:style>
  <w:style w:type="character" w:styleId="944" w:customStyle="1">
    <w:name w:val="Footnote Text Char"/>
    <w:uiPriority w:val="99"/>
    <w:rPr>
      <w:sz w:val="18"/>
    </w:rPr>
  </w:style>
  <w:style w:type="character" w:styleId="945" w:customStyle="1">
    <w:name w:val="Endnote Text Char"/>
    <w:uiPriority w:val="99"/>
    <w:rPr>
      <w:sz w:val="20"/>
    </w:rPr>
  </w:style>
  <w:style w:type="character" w:styleId="946" w:customStyle="1">
    <w:name w:val="Заголовок 1 Знак"/>
    <w:link w:val="917"/>
    <w:uiPriority w:val="9"/>
    <w:rPr>
      <w:rFonts w:ascii="Arial" w:hAnsi="Arial" w:eastAsia="Arial" w:cs="Arial"/>
      <w:sz w:val="40"/>
      <w:szCs w:val="40"/>
    </w:rPr>
  </w:style>
  <w:style w:type="character" w:styleId="947" w:customStyle="1">
    <w:name w:val="Заголовок 2 Знак"/>
    <w:link w:val="918"/>
    <w:uiPriority w:val="9"/>
    <w:rPr>
      <w:rFonts w:ascii="Arial" w:hAnsi="Arial" w:eastAsia="Arial" w:cs="Arial"/>
      <w:sz w:val="34"/>
    </w:rPr>
  </w:style>
  <w:style w:type="character" w:styleId="948" w:customStyle="1">
    <w:name w:val="Заголовок 3 Знак"/>
    <w:link w:val="919"/>
    <w:uiPriority w:val="9"/>
    <w:rPr>
      <w:rFonts w:ascii="Arial" w:hAnsi="Arial" w:eastAsia="Arial" w:cs="Arial"/>
      <w:sz w:val="30"/>
      <w:szCs w:val="30"/>
    </w:rPr>
  </w:style>
  <w:style w:type="character" w:styleId="949" w:customStyle="1">
    <w:name w:val="Заголовок 4 Знак"/>
    <w:link w:val="920"/>
    <w:uiPriority w:val="9"/>
    <w:rPr>
      <w:rFonts w:ascii="Arial" w:hAnsi="Arial" w:eastAsia="Arial" w:cs="Arial"/>
      <w:b/>
      <w:bCs/>
      <w:sz w:val="26"/>
      <w:szCs w:val="26"/>
    </w:rPr>
  </w:style>
  <w:style w:type="character" w:styleId="950" w:customStyle="1">
    <w:name w:val="Заголовок 5 Знак"/>
    <w:link w:val="921"/>
    <w:uiPriority w:val="9"/>
    <w:rPr>
      <w:rFonts w:ascii="Arial" w:hAnsi="Arial" w:eastAsia="Arial" w:cs="Arial"/>
      <w:b/>
      <w:bCs/>
      <w:sz w:val="24"/>
      <w:szCs w:val="24"/>
    </w:rPr>
  </w:style>
  <w:style w:type="character" w:styleId="951" w:customStyle="1">
    <w:name w:val="Заголовок 6 Знак"/>
    <w:link w:val="922"/>
    <w:uiPriority w:val="9"/>
    <w:rPr>
      <w:rFonts w:ascii="Arial" w:hAnsi="Arial" w:eastAsia="Arial" w:cs="Arial"/>
      <w:b/>
      <w:bCs/>
      <w:sz w:val="22"/>
      <w:szCs w:val="22"/>
    </w:rPr>
  </w:style>
  <w:style w:type="character" w:styleId="952" w:customStyle="1">
    <w:name w:val="Заголовок 7 Знак"/>
    <w:link w:val="9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53" w:customStyle="1">
    <w:name w:val="Заголовок 8 Знак"/>
    <w:link w:val="924"/>
    <w:uiPriority w:val="9"/>
    <w:rPr>
      <w:rFonts w:ascii="Arial" w:hAnsi="Arial" w:eastAsia="Arial" w:cs="Arial"/>
      <w:i/>
      <w:iCs/>
      <w:sz w:val="22"/>
      <w:szCs w:val="22"/>
    </w:rPr>
  </w:style>
  <w:style w:type="character" w:styleId="954" w:customStyle="1">
    <w:name w:val="Заголовок 9 Знак"/>
    <w:link w:val="925"/>
    <w:uiPriority w:val="9"/>
    <w:rPr>
      <w:rFonts w:ascii="Arial" w:hAnsi="Arial" w:eastAsia="Arial" w:cs="Arial"/>
      <w:i/>
      <w:iCs/>
      <w:sz w:val="21"/>
      <w:szCs w:val="21"/>
    </w:rPr>
  </w:style>
  <w:style w:type="paragraph" w:styleId="955">
    <w:name w:val="Title"/>
    <w:basedOn w:val="916"/>
    <w:next w:val="916"/>
    <w:link w:val="956"/>
    <w:uiPriority w:val="10"/>
    <w:qFormat/>
    <w:pPr>
      <w:contextualSpacing/>
      <w:spacing w:before="300"/>
    </w:pPr>
    <w:rPr>
      <w:sz w:val="48"/>
      <w:szCs w:val="48"/>
    </w:rPr>
  </w:style>
  <w:style w:type="character" w:styleId="956" w:customStyle="1">
    <w:name w:val="Заголовок Знак"/>
    <w:link w:val="955"/>
    <w:uiPriority w:val="10"/>
    <w:rPr>
      <w:sz w:val="48"/>
      <w:szCs w:val="48"/>
    </w:rPr>
  </w:style>
  <w:style w:type="paragraph" w:styleId="957">
    <w:name w:val="Subtitle"/>
    <w:basedOn w:val="916"/>
    <w:next w:val="916"/>
    <w:link w:val="958"/>
    <w:uiPriority w:val="11"/>
    <w:qFormat/>
    <w:pPr>
      <w:spacing w:before="200"/>
    </w:pPr>
    <w:rPr>
      <w:sz w:val="24"/>
      <w:szCs w:val="24"/>
    </w:rPr>
  </w:style>
  <w:style w:type="character" w:styleId="958" w:customStyle="1">
    <w:name w:val="Подзаголовок Знак"/>
    <w:link w:val="957"/>
    <w:uiPriority w:val="11"/>
    <w:rPr>
      <w:sz w:val="24"/>
      <w:szCs w:val="24"/>
    </w:rPr>
  </w:style>
  <w:style w:type="paragraph" w:styleId="959">
    <w:name w:val="Quote"/>
    <w:basedOn w:val="916"/>
    <w:next w:val="916"/>
    <w:link w:val="960"/>
    <w:uiPriority w:val="29"/>
    <w:qFormat/>
    <w:pPr>
      <w:ind w:left="720" w:right="720"/>
    </w:pPr>
    <w:rPr>
      <w:i/>
    </w:rPr>
  </w:style>
  <w:style w:type="character" w:styleId="960" w:customStyle="1">
    <w:name w:val="Цитата 2 Знак"/>
    <w:link w:val="959"/>
    <w:uiPriority w:val="29"/>
    <w:rPr>
      <w:i/>
    </w:rPr>
  </w:style>
  <w:style w:type="paragraph" w:styleId="961">
    <w:name w:val="Intense Quote"/>
    <w:basedOn w:val="916"/>
    <w:next w:val="916"/>
    <w:link w:val="96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62" w:customStyle="1">
    <w:name w:val="Выделенная цитата Знак"/>
    <w:link w:val="961"/>
    <w:uiPriority w:val="30"/>
    <w:rPr>
      <w:i/>
    </w:rPr>
  </w:style>
  <w:style w:type="paragraph" w:styleId="963">
    <w:name w:val="Header"/>
    <w:basedOn w:val="916"/>
    <w:link w:val="9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64" w:customStyle="1">
    <w:name w:val="Верхний колонтитул Знак"/>
    <w:link w:val="963"/>
    <w:uiPriority w:val="99"/>
  </w:style>
  <w:style w:type="paragraph" w:styleId="965">
    <w:name w:val="Footer"/>
    <w:basedOn w:val="916"/>
    <w:link w:val="9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66" w:customStyle="1">
    <w:name w:val="Footer Char"/>
    <w:uiPriority w:val="99"/>
  </w:style>
  <w:style w:type="paragraph" w:styleId="967">
    <w:name w:val="Caption"/>
    <w:basedOn w:val="916"/>
    <w:next w:val="916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968" w:customStyle="1">
    <w:name w:val="Нижний колонтитул Знак"/>
    <w:link w:val="965"/>
    <w:uiPriority w:val="99"/>
  </w:style>
  <w:style w:type="table" w:styleId="969">
    <w:name w:val="Table Grid"/>
    <w:basedOn w:val="92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0" w:customStyle="1">
    <w:name w:val="Table Grid Light"/>
    <w:basedOn w:val="92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71">
    <w:name w:val="Plain Table 1"/>
    <w:basedOn w:val="92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2">
    <w:name w:val="Plain Table 2"/>
    <w:basedOn w:val="92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3">
    <w:name w:val="Plain Table 3"/>
    <w:basedOn w:val="9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4">
    <w:name w:val="Plain Table 4"/>
    <w:basedOn w:val="9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Plain Table 5"/>
    <w:basedOn w:val="9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6">
    <w:name w:val="Grid Table 1 Light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 w:customStyle="1">
    <w:name w:val="Grid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 w:customStyle="1">
    <w:name w:val="Grid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 w:customStyle="1">
    <w:name w:val="Grid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Grid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Grid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 w:customStyle="1">
    <w:name w:val="Grid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Grid Table 2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Grid Table 2 - Accent 1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Grid Table 2 - Accent 2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Grid Table 2 - Accent 3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Grid Table 2 - Accent 4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Grid Table 2 - Accent 5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Grid Table 2 - Accent 6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3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Grid Table 3 - Accent 1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Grid Table 3 - Accent 2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Grid Table 3 - Accent 3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Grid Table 3 - Accent 4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Grid Table 3 - Accent 5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Grid Table 3 - Accent 6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4"/>
    <w:basedOn w:val="9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8" w:customStyle="1">
    <w:name w:val="Grid Table 4 - Accent 1"/>
    <w:basedOn w:val="9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999" w:customStyle="1">
    <w:name w:val="Grid Table 4 - Accent 2"/>
    <w:basedOn w:val="9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000" w:customStyle="1">
    <w:name w:val="Grid Table 4 - Accent 3"/>
    <w:basedOn w:val="9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001" w:customStyle="1">
    <w:name w:val="Grid Table 4 - Accent 4"/>
    <w:basedOn w:val="9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002" w:customStyle="1">
    <w:name w:val="Grid Table 4 - Accent 5"/>
    <w:basedOn w:val="9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003" w:customStyle="1">
    <w:name w:val="Grid Table 4 - Accent 6"/>
    <w:basedOn w:val="9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004">
    <w:name w:val="Grid Table 5 Dark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05" w:customStyle="1">
    <w:name w:val="Grid Table 5 Dark- Accent 1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006" w:customStyle="1">
    <w:name w:val="Grid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007" w:customStyle="1">
    <w:name w:val="Grid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008" w:customStyle="1">
    <w:name w:val="Grid Table 5 Dark- Accent 4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009" w:customStyle="1">
    <w:name w:val="Grid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010" w:customStyle="1">
    <w:name w:val="Grid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011">
    <w:name w:val="Grid Table 6 Colorful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12" w:customStyle="1">
    <w:name w:val="Grid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013" w:customStyle="1">
    <w:name w:val="Grid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014" w:customStyle="1">
    <w:name w:val="Grid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015" w:customStyle="1">
    <w:name w:val="Grid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16" w:customStyle="1">
    <w:name w:val="Grid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17" w:customStyle="1">
    <w:name w:val="Grid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18">
    <w:name w:val="Grid Table 7 Colorful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 w:customStyle="1">
    <w:name w:val="Grid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 w:customStyle="1">
    <w:name w:val="Grid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 w:customStyle="1">
    <w:name w:val="Grid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 w:customStyle="1">
    <w:name w:val="Grid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Grid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Grid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List Table 1 Light"/>
    <w:basedOn w:val="9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List Table 1 Light - Accent 1"/>
    <w:basedOn w:val="9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List Table 1 Light - Accent 2"/>
    <w:basedOn w:val="9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List Table 1 Light - Accent 3"/>
    <w:basedOn w:val="9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List Table 1 Light - Accent 4"/>
    <w:basedOn w:val="9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List Table 1 Light - Accent 5"/>
    <w:basedOn w:val="9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List Table 1 Light - Accent 6"/>
    <w:basedOn w:val="9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List Table 2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33" w:customStyle="1">
    <w:name w:val="List Table 2 - Accent 1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034" w:customStyle="1">
    <w:name w:val="List Table 2 - Accent 2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035" w:customStyle="1">
    <w:name w:val="List Table 2 - Accent 3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036" w:customStyle="1">
    <w:name w:val="List Table 2 - Accent 4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037" w:customStyle="1">
    <w:name w:val="List Table 2 - Accent 5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038" w:customStyle="1">
    <w:name w:val="List Table 2 - Accent 6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039">
    <w:name w:val="List Table 3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 w:customStyle="1">
    <w:name w:val="List Table 3 - Accent 1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 w:customStyle="1">
    <w:name w:val="List Table 3 - Accent 2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 w:customStyle="1">
    <w:name w:val="List Table 3 - Accent 3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 w:customStyle="1">
    <w:name w:val="List Table 3 - Accent 4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 w:customStyle="1">
    <w:name w:val="List Table 3 - Accent 5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 w:customStyle="1">
    <w:name w:val="List Table 3 - Accent 6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4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 w:customStyle="1">
    <w:name w:val="List Table 4 - Accent 1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 w:customStyle="1">
    <w:name w:val="List Table 4 - Accent 2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 w:customStyle="1">
    <w:name w:val="List Table 4 - Accent 3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 w:customStyle="1">
    <w:name w:val="List Table 4 - Accent 4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 w:customStyle="1">
    <w:name w:val="List Table 4 - Accent 5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 w:customStyle="1">
    <w:name w:val="List Table 4 - Accent 6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5 Dark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4" w:customStyle="1">
    <w:name w:val="List Table 5 Dark - Accent 1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5" w:customStyle="1">
    <w:name w:val="List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6" w:customStyle="1">
    <w:name w:val="List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7" w:customStyle="1">
    <w:name w:val="List Table 5 Dark - Accent 4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8" w:customStyle="1">
    <w:name w:val="List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9" w:customStyle="1">
    <w:name w:val="List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0">
    <w:name w:val="List Table 6 Colorful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61" w:customStyle="1">
    <w:name w:val="List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62" w:customStyle="1">
    <w:name w:val="List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063" w:customStyle="1">
    <w:name w:val="List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064" w:customStyle="1">
    <w:name w:val="List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065" w:customStyle="1">
    <w:name w:val="List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066" w:customStyle="1">
    <w:name w:val="List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067">
    <w:name w:val="List Table 7 Colorful"/>
    <w:basedOn w:val="9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List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List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List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List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List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List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Lined - Accent"/>
    <w:basedOn w:val="9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75" w:customStyle="1">
    <w:name w:val="Lined - Accent 1"/>
    <w:basedOn w:val="9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76" w:customStyle="1">
    <w:name w:val="Lined - Accent 2"/>
    <w:basedOn w:val="9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77" w:customStyle="1">
    <w:name w:val="Lined - Accent 3"/>
    <w:basedOn w:val="9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78" w:customStyle="1">
    <w:name w:val="Lined - Accent 4"/>
    <w:basedOn w:val="9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79" w:customStyle="1">
    <w:name w:val="Lined - Accent 5"/>
    <w:basedOn w:val="9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80" w:customStyle="1">
    <w:name w:val="Lined - Accent 6"/>
    <w:basedOn w:val="9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81" w:customStyle="1">
    <w:name w:val="Bordered &amp; Lined - Accent"/>
    <w:basedOn w:val="9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82" w:customStyle="1">
    <w:name w:val="Bordered &amp; Lined - Accent 1"/>
    <w:basedOn w:val="9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83" w:customStyle="1">
    <w:name w:val="Bordered &amp; Lined - Accent 2"/>
    <w:basedOn w:val="9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84" w:customStyle="1">
    <w:name w:val="Bordered &amp; Lined - Accent 3"/>
    <w:basedOn w:val="9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85" w:customStyle="1">
    <w:name w:val="Bordered &amp; Lined - Accent 4"/>
    <w:basedOn w:val="9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86" w:customStyle="1">
    <w:name w:val="Bordered &amp; Lined - Accent 5"/>
    <w:basedOn w:val="9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87" w:customStyle="1">
    <w:name w:val="Bordered &amp; Lined - Accent 6"/>
    <w:basedOn w:val="9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88" w:customStyle="1">
    <w:name w:val="Bordered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89" w:customStyle="1">
    <w:name w:val="Bordered - Accent 1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90" w:customStyle="1">
    <w:name w:val="Bordered - Accent 2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91" w:customStyle="1">
    <w:name w:val="Bordered - Accent 3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92" w:customStyle="1">
    <w:name w:val="Bordered - Accent 4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93" w:customStyle="1">
    <w:name w:val="Bordered - Accent 5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094" w:customStyle="1">
    <w:name w:val="Bordered - Accent 6"/>
    <w:basedOn w:val="9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95">
    <w:name w:val="Hyperlink"/>
    <w:uiPriority w:val="99"/>
    <w:unhideWhenUsed/>
    <w:rPr>
      <w:color w:val="0563c1" w:themeColor="hyperlink"/>
      <w:u w:val="single"/>
    </w:rPr>
  </w:style>
  <w:style w:type="paragraph" w:styleId="1096">
    <w:name w:val="footnote text"/>
    <w:basedOn w:val="916"/>
    <w:link w:val="1097"/>
    <w:uiPriority w:val="99"/>
    <w:semiHidden/>
    <w:unhideWhenUsed/>
    <w:pPr>
      <w:spacing w:after="40" w:line="240" w:lineRule="auto"/>
    </w:pPr>
    <w:rPr>
      <w:sz w:val="18"/>
    </w:rPr>
  </w:style>
  <w:style w:type="character" w:styleId="1097" w:customStyle="1">
    <w:name w:val="Текст сноски Знак"/>
    <w:link w:val="1096"/>
    <w:uiPriority w:val="99"/>
    <w:rPr>
      <w:sz w:val="18"/>
    </w:rPr>
  </w:style>
  <w:style w:type="character" w:styleId="1098">
    <w:name w:val="footnote reference"/>
    <w:uiPriority w:val="99"/>
    <w:unhideWhenUsed/>
    <w:rPr>
      <w:vertAlign w:val="superscript"/>
    </w:rPr>
  </w:style>
  <w:style w:type="paragraph" w:styleId="1099">
    <w:name w:val="endnote text"/>
    <w:basedOn w:val="916"/>
    <w:link w:val="1100"/>
    <w:uiPriority w:val="99"/>
    <w:semiHidden/>
    <w:unhideWhenUsed/>
    <w:pPr>
      <w:spacing w:after="0" w:line="240" w:lineRule="auto"/>
    </w:pPr>
    <w:rPr>
      <w:sz w:val="20"/>
    </w:rPr>
  </w:style>
  <w:style w:type="character" w:styleId="1100" w:customStyle="1">
    <w:name w:val="Текст концевой сноски Знак"/>
    <w:link w:val="1099"/>
    <w:uiPriority w:val="99"/>
    <w:rPr>
      <w:sz w:val="20"/>
    </w:rPr>
  </w:style>
  <w:style w:type="character" w:styleId="1101">
    <w:name w:val="endnote reference"/>
    <w:uiPriority w:val="99"/>
    <w:semiHidden/>
    <w:unhideWhenUsed/>
    <w:rPr>
      <w:vertAlign w:val="superscript"/>
    </w:rPr>
  </w:style>
  <w:style w:type="paragraph" w:styleId="1102">
    <w:name w:val="toc 1"/>
    <w:basedOn w:val="916"/>
    <w:next w:val="916"/>
    <w:uiPriority w:val="39"/>
    <w:unhideWhenUsed/>
    <w:pPr>
      <w:spacing w:after="57"/>
    </w:pPr>
  </w:style>
  <w:style w:type="paragraph" w:styleId="1103">
    <w:name w:val="toc 2"/>
    <w:basedOn w:val="916"/>
    <w:next w:val="916"/>
    <w:uiPriority w:val="39"/>
    <w:unhideWhenUsed/>
    <w:pPr>
      <w:ind w:left="283"/>
      <w:spacing w:after="57"/>
    </w:pPr>
  </w:style>
  <w:style w:type="paragraph" w:styleId="1104">
    <w:name w:val="toc 3"/>
    <w:basedOn w:val="916"/>
    <w:next w:val="916"/>
    <w:uiPriority w:val="39"/>
    <w:unhideWhenUsed/>
    <w:pPr>
      <w:ind w:left="567"/>
      <w:spacing w:after="57"/>
    </w:pPr>
  </w:style>
  <w:style w:type="paragraph" w:styleId="1105">
    <w:name w:val="toc 4"/>
    <w:basedOn w:val="916"/>
    <w:next w:val="916"/>
    <w:uiPriority w:val="39"/>
    <w:unhideWhenUsed/>
    <w:pPr>
      <w:ind w:left="850"/>
      <w:spacing w:after="57"/>
    </w:pPr>
  </w:style>
  <w:style w:type="paragraph" w:styleId="1106">
    <w:name w:val="toc 5"/>
    <w:basedOn w:val="916"/>
    <w:next w:val="916"/>
    <w:uiPriority w:val="39"/>
    <w:unhideWhenUsed/>
    <w:pPr>
      <w:ind w:left="1134"/>
      <w:spacing w:after="57"/>
    </w:pPr>
  </w:style>
  <w:style w:type="paragraph" w:styleId="1107">
    <w:name w:val="toc 6"/>
    <w:basedOn w:val="916"/>
    <w:next w:val="916"/>
    <w:uiPriority w:val="39"/>
    <w:unhideWhenUsed/>
    <w:pPr>
      <w:ind w:left="1417"/>
      <w:spacing w:after="57"/>
    </w:pPr>
  </w:style>
  <w:style w:type="paragraph" w:styleId="1108">
    <w:name w:val="toc 7"/>
    <w:basedOn w:val="916"/>
    <w:next w:val="916"/>
    <w:uiPriority w:val="39"/>
    <w:unhideWhenUsed/>
    <w:pPr>
      <w:ind w:left="1701"/>
      <w:spacing w:after="57"/>
    </w:pPr>
  </w:style>
  <w:style w:type="paragraph" w:styleId="1109">
    <w:name w:val="toc 8"/>
    <w:basedOn w:val="916"/>
    <w:next w:val="916"/>
    <w:uiPriority w:val="39"/>
    <w:unhideWhenUsed/>
    <w:pPr>
      <w:ind w:left="1984"/>
      <w:spacing w:after="57"/>
    </w:pPr>
  </w:style>
  <w:style w:type="paragraph" w:styleId="1110">
    <w:name w:val="toc 9"/>
    <w:basedOn w:val="916"/>
    <w:next w:val="916"/>
    <w:uiPriority w:val="39"/>
    <w:unhideWhenUsed/>
    <w:pPr>
      <w:ind w:left="2268"/>
      <w:spacing w:after="57"/>
    </w:pPr>
  </w:style>
  <w:style w:type="paragraph" w:styleId="1111">
    <w:name w:val="TOC Heading"/>
    <w:uiPriority w:val="39"/>
    <w:unhideWhenUsed/>
  </w:style>
  <w:style w:type="paragraph" w:styleId="1112">
    <w:name w:val="table of figures"/>
    <w:basedOn w:val="916"/>
    <w:next w:val="916"/>
    <w:uiPriority w:val="99"/>
    <w:unhideWhenUsed/>
    <w:pPr>
      <w:spacing w:after="0"/>
    </w:pPr>
  </w:style>
  <w:style w:type="paragraph" w:styleId="1113">
    <w:name w:val="No Spacing"/>
    <w:basedOn w:val="916"/>
    <w:uiPriority w:val="1"/>
    <w:qFormat/>
    <w:pPr>
      <w:spacing w:after="0" w:line="240" w:lineRule="auto"/>
    </w:pPr>
  </w:style>
  <w:style w:type="paragraph" w:styleId="1114">
    <w:name w:val="List Paragraph"/>
    <w:basedOn w:val="916"/>
    <w:uiPriority w:val="34"/>
    <w:qFormat/>
    <w:pPr>
      <w:contextualSpacing/>
      <w:ind w:left="720"/>
    </w:pPr>
  </w:style>
  <w:style w:type="character" w:styleId="1115">
    <w:name w:val="Unresolved Mention"/>
    <w:basedOn w:val="926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minfin.gov.ru/" TargetMode="External"/><Relationship Id="rId11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revision>3</cp:revision>
  <dcterms:created xsi:type="dcterms:W3CDTF">2025-08-07T15:42:00Z</dcterms:created>
  <dcterms:modified xsi:type="dcterms:W3CDTF">2025-08-08T10:40:22Z</dcterms:modified>
</cp:coreProperties>
</file>