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3E" w:rsidRDefault="0003003E">
      <w:pPr>
        <w:pStyle w:val="ConsPlusTitle"/>
        <w:jc w:val="center"/>
      </w:pPr>
      <w:r>
        <w:t>МИНИСТЕРСТВО ФИНАНСОВ РОССИЙСКОЙ ФЕДЕРАЦИИ</w:t>
      </w:r>
    </w:p>
    <w:p w:rsidR="0003003E" w:rsidRDefault="0003003E">
      <w:pPr>
        <w:pStyle w:val="ConsPlusTitle"/>
        <w:jc w:val="center"/>
      </w:pPr>
    </w:p>
    <w:p w:rsidR="0003003E" w:rsidRDefault="0003003E">
      <w:pPr>
        <w:pStyle w:val="ConsPlusTitle"/>
        <w:jc w:val="center"/>
      </w:pPr>
      <w:r>
        <w:t>ПИСЬМО</w:t>
      </w:r>
    </w:p>
    <w:p w:rsidR="0003003E" w:rsidRDefault="0003003E">
      <w:pPr>
        <w:pStyle w:val="ConsPlusTitle"/>
        <w:jc w:val="center"/>
      </w:pPr>
      <w:bookmarkStart w:id="0" w:name="_GoBack"/>
      <w:r>
        <w:t>от 17 декабря 2019 г. N 02-02-05/98727</w:t>
      </w:r>
    </w:p>
    <w:bookmarkEnd w:id="0"/>
    <w:p w:rsidR="0003003E" w:rsidRDefault="0003003E">
      <w:pPr>
        <w:pStyle w:val="ConsPlusNormal"/>
        <w:jc w:val="both"/>
      </w:pPr>
    </w:p>
    <w:p w:rsidR="0003003E" w:rsidRDefault="0003003E">
      <w:pPr>
        <w:pStyle w:val="ConsPlusNormal"/>
        <w:ind w:firstLine="540"/>
        <w:jc w:val="both"/>
      </w:pPr>
      <w:r>
        <w:t>Министерство финансов Российской Федерации в связи с поступающими запросами главных администраторов средств бюджета субъекта Российской Федерации (местного бюджета) (далее - главные администраторы (администраторы) бюджетных средств) по вопросам осуществления внутреннего финансового контроля и внутреннего финансового аудита начиная с 1 января 2020 года сообщает следующее.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В целях совершенствования организации и осуществления внутреннего финансового контроля и аудита были внесены изменения в Бюджетный </w:t>
      </w:r>
      <w:hyperlink r:id="rId4" w:history="1">
        <w:r>
          <w:rPr>
            <w:color w:val="0000FF"/>
          </w:rPr>
          <w:t>кодекс</w:t>
        </w:r>
      </w:hyperlink>
      <w:r>
        <w:t xml:space="preserve"> Российской Федерации (далее - Бюджетный кодекс) (26 июля 2019 года принят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В соответствии с внесенными в Бюджетный </w:t>
      </w:r>
      <w:hyperlink r:id="rId6" w:history="1">
        <w:r>
          <w:rPr>
            <w:color w:val="0000FF"/>
          </w:rPr>
          <w:t>кодекс</w:t>
        </w:r>
      </w:hyperlink>
      <w:r>
        <w:t xml:space="preserve"> изменениями: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5 статьи 160.2-1</w:t>
        </w:r>
      </w:hyperlink>
      <w:r>
        <w:t xml:space="preserve"> Бюджетного кодекса (в редакции Федерального закона от 26.07.2019 N 199-ФЗ) вступит в силу с 1 января 2020 года. Это означает, что действующие в настоящее время порядки осуществления внутреннего финансового контроля и внутреннего финансового аудита, принятые соответственно высшим исполнительным органом государственной власти субъекта Российской Федерации, местной администрацией (далее - Порядки), должны быть признаны утратившими силу с 1 января 2020 года;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2) бюджетное полномочие главного администратора (администратора) бюджетных средств по осуществлению внутреннего финансового контроля в качестве отдельного бюджетного полномочия исключено из состава бюджетных полномочий, определяемых Бюджетным </w:t>
      </w:r>
      <w:hyperlink r:id="rId8" w:history="1">
        <w:r>
          <w:rPr>
            <w:color w:val="0000FF"/>
          </w:rPr>
          <w:t>кодексом</w:t>
        </w:r>
      </w:hyperlink>
      <w:r>
        <w:t>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9" w:history="1">
        <w:r>
          <w:rPr>
            <w:color w:val="0000FF"/>
          </w:rPr>
          <w:t>подпункту 1 пункта 2 статьи 160.2-1</w:t>
        </w:r>
      </w:hyperlink>
      <w:r>
        <w:t xml:space="preserve"> Бюджетного кодекса внутренний финансовый аудит осуществляется, в том числе, в целях оценки надежности внутреннего финансового контроля и подготовки предложений об организации внутреннего финансового контроля.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Таким образом, внутренний финансовый контроль, определяемый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в качестве внутреннего процесса главного администратора (администратора) бюджетных средств и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является составной частью каждого бюджетного полномочия главного администратора (администратора) бюджетных средств.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Минфин России в соответствии со </w:t>
      </w:r>
      <w:hyperlink r:id="rId11" w:history="1">
        <w:r>
          <w:rPr>
            <w:color w:val="0000FF"/>
          </w:rPr>
          <w:t>статьей 165</w:t>
        </w:r>
      </w:hyperlink>
      <w:r>
        <w:t xml:space="preserve"> Бюджетного кодекса продолжит осуществлять методическое обеспечение осуществления внутреннего финансового контроля, однако издание нормативного правового акта, в котором будут установлены обязательные и единые для всей бюджетной системы Российской Федерации требования к организации и осуществлению внутреннего финансового контроля, не предусмотрено.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Таким образом, в части правового регулирования осуществления внутреннего финансового контроля исключается обязанность главных администраторов (администраторов) бюджетных средств издания (использования) нормативных правовых актов по внутреннему финансовому контролю.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Это означает, что главный администратор (администратор) бюджетных средств вправе </w:t>
      </w:r>
      <w:r>
        <w:lastRenderedPageBreak/>
        <w:t>самостоятельно определить порядок осуществления внутреннего финансового контроля с учетом необходимости соблюдения требований к исполнению бюджетных полномочий.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Главные администраторы (администраторы) бюджетных средств вправе издать ведомственный (внутренний) акт, обеспечивающий осуществление внутреннего финансового контроля, в том числе определяющий особенности совершения контрольных действий (указанный акт может быть (но не обязан) издан с учетом подходов, действующих в ранее изданном правовом акте главного администратора (администратора) бюджетных средств, регулирующем осуществление внутреннего финансового контроля), либо главные администраторы (администраторы) бюджетных средств вправе пользоваться ведомственными (внутренними) актами, определяющими порядок выполнения бюджетных процедур, с учетом их актуализации (при необходимости) в части определения совершаемых контрольных действий при выполнении бюджетных процедур.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С 1 января 2020 года внутренний финансовый аудит будет осуществляться в соответствии с федеральными стандартами внутреннего финансового аудита.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В настоящее время федеральные стандарты внутреннего финансового аудита "Определения, принципы и задачи внутреннего финансового аудита" и "Права и обязанности должностных лиц (работников) при осуществлении внутреннего финансового аудита" утверждены приказами Минфина России от 21 ноября 2019 года </w:t>
      </w:r>
      <w:hyperlink r:id="rId12" w:history="1">
        <w:r>
          <w:rPr>
            <w:color w:val="0000FF"/>
          </w:rPr>
          <w:t>N 196н</w:t>
        </w:r>
      </w:hyperlink>
      <w:r>
        <w:t xml:space="preserve"> и от 21 ноября 2019 года </w:t>
      </w:r>
      <w:hyperlink r:id="rId13" w:history="1">
        <w:r>
          <w:rPr>
            <w:color w:val="0000FF"/>
          </w:rPr>
          <w:t>N 195н</w:t>
        </w:r>
      </w:hyperlink>
      <w:r>
        <w:t xml:space="preserve">, а федеральный </w:t>
      </w:r>
      <w:hyperlink r:id="rId14" w:history="1">
        <w:r>
          <w:rPr>
            <w:color w:val="0000FF"/>
          </w:rPr>
          <w:t>стандарт</w:t>
        </w:r>
      </w:hyperlink>
      <w:r>
        <w:t xml:space="preserve">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 подготовлен для представления на государственную регистрацию. Указанные документы размещены на официальном сайте Минфина России в разделе: "Бюджет/Внутренний финансовый контроль и аудит в государственном секторе/Нормативные правовые акты и методические рекомендации".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Кроме того, до конца текущего года планируется утверждение федерального стандарта внутреннего финансового аудита "Планирование внутреннего финансового аудита" (в настоящее время проект приказа размещен на официальном сайте www.regulation.gov.ru).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Исходя из </w:t>
      </w:r>
      <w:hyperlink r:id="rId15" w:history="1">
        <w:r>
          <w:rPr>
            <w:color w:val="0000FF"/>
          </w:rPr>
          <w:t>пункта 5 статьи 160.2-1</w:t>
        </w:r>
      </w:hyperlink>
      <w:r>
        <w:t xml:space="preserve"> Бюджетного кодекса Российской Федерации (в редакции Федерального закона от 26.07.2019 N 199-ФЗ) ведомственные (внутренние) акты по вопросам внутреннего финансового аудита принимают и издают только главные администраторы (администраторы) бюджетных средств, осуществляющие внутренний финансовый аудит.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Это означает, что главные администраторы (администраторы) бюджетных средств, передавшие полномочия по осуществлению внутреннего финансового аудита и (или) принявшие решение об упрощенной организации внутреннего финансового аудита с учетом положений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ведомственные (внутренние) акты по вопросам внутреннего финансового аудита не издают.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До завершения государственной регистрации федеральных стандартов внутреннего финансового аудита главные администраторы (администраторы) бюджетных средств вправе продолжить пользоваться своими ведомственными (внутренними) актами, обеспечивающими осуществление внутреннего финансового аудита, и (или) Методическими </w:t>
      </w:r>
      <w:hyperlink r:id="rId16" w:history="1">
        <w:r>
          <w:rPr>
            <w:color w:val="0000FF"/>
          </w:rPr>
          <w:t>рекомендациями</w:t>
        </w:r>
      </w:hyperlink>
      <w:r>
        <w:t xml:space="preserve"> по осуществлению внутреннего финансового аудита, утвержденными приказом Министерства финансов Российской Федерации от 30 декабря 2016 г. N 822, с одновременным проведением работы по признанию утратившими силу нормативных правовых актов главных администраторов (администраторов) бюджетных средств, регулирующих осуществление внутреннего финансового аудита.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Ранее изданные внутренние акты (стандарты) главных администраторов (администраторов) бюджетных средств по осуществлению ими внутреннего финансового аудита подлежат уточнению </w:t>
      </w:r>
      <w:r>
        <w:lastRenderedPageBreak/>
        <w:t xml:space="preserve">с учетом положений </w:t>
      </w:r>
      <w:hyperlink r:id="rId17" w:history="1">
        <w:r>
          <w:rPr>
            <w:color w:val="0000FF"/>
          </w:rPr>
          <w:t>пункта 5 статьи 160.2-1</w:t>
        </w:r>
      </w:hyperlink>
      <w:r>
        <w:t xml:space="preserve"> Бюджетного кодекса.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 xml:space="preserve">Типовые (общие) перечни бюджетных процедур, </w:t>
      </w:r>
      <w:proofErr w:type="gramStart"/>
      <w:r>
        <w:t>также</w:t>
      </w:r>
      <w:proofErr w:type="gramEnd"/>
      <w:r>
        <w:t xml:space="preserve"> как и типовые перечни бюджетных рисков устанавливать в федеральных стандартах внутреннего финансового аудита не предполагается. При этом подходы к оценке бюджетных рисков будут установлены в федеральном стандарте внутреннего финансового аудита "Планирование внутреннего финансового аудита".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Также сообщаем, что в проекте федерального стандарта внутреннего финансового аудита "Основания и порядок организации внутреннего финансового аудита, а также случаи и порядок передачи полномочий по осуществлению внутреннего финансового аудита" учтены особенности организации и осуществления внутреннего финансового аудита на уровне субъектов Российской Федерации (муниципальных образований), исходя из которых определены несколько возможных форм организации внутреннего финансового аудита, в том числе упрощенная организация внутреннего финансового аудита.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Обращаем внимание, что объектами внутреннего финансового аудита являются бюджетные процедуры (операции) главного администратора (администратора) бюджетных средств, что не подразумевает проведения выездных проверок финансово-хозяйственной деятельности подведомственных этому главному администратору (администратору) бюджетных средств учреждений (администраторов бюджетных средств) в рамках осуществления внутреннего финансового аудита.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При этом в связи с признанием утратившими силу с 1 января 2020 года Порядков, по мнению Минфина России, план проведения аудиторских мероприятий на 2020 год может быть составлен и утвержден до начала очередного финансового года с учетом положений федерального стандарта внутреннего финансового аудита "Определения, принципы и задачи внутреннего финансового аудита" (в части указанного содержания плана).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Годовую отчетность о результатах осуществления внутреннего финансового аудита за 2019 год рекомендуется сформировать с учетом положений Порядков.</w:t>
      </w:r>
    </w:p>
    <w:p w:rsidR="0003003E" w:rsidRDefault="0003003E">
      <w:pPr>
        <w:pStyle w:val="ConsPlusNormal"/>
        <w:spacing w:before="220"/>
        <w:ind w:firstLine="540"/>
        <w:jc w:val="both"/>
      </w:pPr>
      <w:r>
        <w:t>Минфин России просит финансовые органы субъектов Российской Федерации довести указанное письмо до главных администраторов бюджетных средств субъекта Российской Федерации, а также до финансовых органов муниципальных образований (главных администраторов средств местного бюджета).</w:t>
      </w:r>
    </w:p>
    <w:p w:rsidR="0003003E" w:rsidRDefault="0003003E">
      <w:pPr>
        <w:pStyle w:val="ConsPlusNormal"/>
        <w:jc w:val="both"/>
      </w:pPr>
    </w:p>
    <w:p w:rsidR="0003003E" w:rsidRDefault="0003003E">
      <w:pPr>
        <w:pStyle w:val="ConsPlusNormal"/>
        <w:jc w:val="right"/>
      </w:pPr>
      <w:r>
        <w:t>А.М.ЛАВРОВ</w:t>
      </w:r>
    </w:p>
    <w:p w:rsidR="0003003E" w:rsidRDefault="0003003E">
      <w:pPr>
        <w:pStyle w:val="ConsPlusNormal"/>
        <w:jc w:val="both"/>
      </w:pPr>
    </w:p>
    <w:p w:rsidR="0003003E" w:rsidRDefault="0003003E">
      <w:pPr>
        <w:pStyle w:val="ConsPlusNormal"/>
        <w:jc w:val="both"/>
      </w:pPr>
    </w:p>
    <w:p w:rsidR="0003003E" w:rsidRDefault="000300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A66" w:rsidRDefault="009A4A66"/>
    <w:sectPr w:rsidR="009A4A66" w:rsidSect="0043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E"/>
    <w:rsid w:val="0003003E"/>
    <w:rsid w:val="009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F979-29AE-4DF7-9D1D-4B2FA33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0AF8E2F5F633DDB7420BAB56CDF222524BC5245B7D81BDC6A54DFC157C47F60747E70E0B49780EB030F41D8YEN6E" TargetMode="External"/><Relationship Id="rId13" Type="http://schemas.openxmlformats.org/officeDocument/2006/relationships/hyperlink" Target="consultantplus://offline/ref=8230AF8E2F5F633DDB7420BAB56CDF222525B35E48BAD81BDC6A54DFC157C47F7274267CE0B18981E81659109EB3C520FF5CD74C229D69A3YDN1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30AF8E2F5F633DDB7420BAB56CDF222524BC5245B7D81BDC6A54DFC157C47F72742678E0B08B8BBD4C4914D7E6CD3EFA40C94C3C9DY6N9E" TargetMode="External"/><Relationship Id="rId12" Type="http://schemas.openxmlformats.org/officeDocument/2006/relationships/hyperlink" Target="consultantplus://offline/ref=8230AF8E2F5F633DDB7420BAB56CDF222525B35E48B9D81BDC6A54DFC157C47F7274267CE0B18981E81659109EB3C520FF5CD74C229D69A3YDN1E" TargetMode="External"/><Relationship Id="rId17" Type="http://schemas.openxmlformats.org/officeDocument/2006/relationships/hyperlink" Target="consultantplus://offline/ref=8230AF8E2F5F633DDB7420BAB56CDF222524BC5245B7D81BDC6A54DFC157C47F72742678E0B08B8BBD4C4914D7E6CD3EFA40C94C3C9DY6N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30AF8E2F5F633DDB7420BAB56CDF222526BF5E41BCD81BDC6A54DFC157C47F7274267CE0B18C83ED1659109EB3C520FF5CD74C229D69A3YDN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0AF8E2F5F633DDB7420BAB56CDF222524BC5245B7D81BDC6A54DFC157C47F60747E70E0B49780EB030F41D8YEN6E" TargetMode="External"/><Relationship Id="rId11" Type="http://schemas.openxmlformats.org/officeDocument/2006/relationships/hyperlink" Target="consultantplus://offline/ref=8230AF8E2F5F633DDB7420BAB56CDF222524BC5245B7D81BDC6A54DFC157C47F72742679E9B1888BBD4C4914D7E6CD3EFA40C94C3C9DY6N9E" TargetMode="External"/><Relationship Id="rId5" Type="http://schemas.openxmlformats.org/officeDocument/2006/relationships/hyperlink" Target="consultantplus://offline/ref=8230AF8E2F5F633DDB7420BAB56CDF222525BB5B42B8D81BDC6A54DFC157C47F60747E70E0B49780EB030F41D8YEN6E" TargetMode="External"/><Relationship Id="rId15" Type="http://schemas.openxmlformats.org/officeDocument/2006/relationships/hyperlink" Target="consultantplus://offline/ref=8230AF8E2F5F633DDB7420BAB56CDF222524BC5245B7D81BDC6A54DFC157C47F72742678E0B08B8BBD4C4914D7E6CD3EFA40C94C3C9DY6N9E" TargetMode="External"/><Relationship Id="rId10" Type="http://schemas.openxmlformats.org/officeDocument/2006/relationships/hyperlink" Target="consultantplus://offline/ref=8230AF8E2F5F633DDB7420BAB56CDF222524BC5245B7D81BDC6A54DFC157C47F60747E70E0B49780EB030F41D8YEN6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230AF8E2F5F633DDB7420BAB56CDF222524BC5245B7D81BDC6A54DFC157C47F60747E70E0B49780EB030F41D8YEN6E" TargetMode="External"/><Relationship Id="rId9" Type="http://schemas.openxmlformats.org/officeDocument/2006/relationships/hyperlink" Target="consultantplus://offline/ref=8230AF8E2F5F633DDB7420BAB56CDF222524BC5245B7D81BDC6A54DFC157C47F72742679E8B98D8BBD4C4914D7E6CD3EFA40C94C3C9DY6N9E" TargetMode="External"/><Relationship Id="rId14" Type="http://schemas.openxmlformats.org/officeDocument/2006/relationships/hyperlink" Target="consultantplus://offline/ref=8230AF8E2F5F633DDB7420BAB56CDF222522BB5D43B7D81BDC6A54DFC157C47F7274267CE0B18981E91659109EB3C520FF5CD74C229D69A3YDN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2020-02-05T04:13:00Z</dcterms:created>
  <dcterms:modified xsi:type="dcterms:W3CDTF">2020-02-05T04:14:00Z</dcterms:modified>
</cp:coreProperties>
</file>