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E7" w:rsidRPr="00145AC1"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145AC1">
        <w:rPr>
          <w:rFonts w:ascii="Times New Roman" w:hAnsi="Times New Roman" w:cs="Times New Roman"/>
          <w:b/>
          <w:sz w:val="28"/>
          <w:szCs w:val="28"/>
        </w:rPr>
        <w:t>Основные н</w:t>
      </w:r>
      <w:r w:rsidR="00F91A91" w:rsidRPr="00145AC1">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145AC1" w:rsidRDefault="00A26908" w:rsidP="00F91A91">
      <w:pPr>
        <w:spacing w:after="0" w:line="240" w:lineRule="auto"/>
        <w:ind w:firstLine="709"/>
        <w:jc w:val="center"/>
        <w:rPr>
          <w:rFonts w:ascii="Times New Roman" w:hAnsi="Times New Roman" w:cs="Times New Roman"/>
          <w:b/>
          <w:sz w:val="28"/>
          <w:szCs w:val="28"/>
        </w:rPr>
      </w:pPr>
    </w:p>
    <w:p w:rsidR="00A26908" w:rsidRPr="00145AC1" w:rsidRDefault="00A26908" w:rsidP="00A26908">
      <w:pPr>
        <w:spacing w:after="0" w:line="240" w:lineRule="auto"/>
        <w:ind w:firstLine="709"/>
        <w:jc w:val="both"/>
        <w:rPr>
          <w:rFonts w:ascii="Times New Roman" w:hAnsi="Times New Roman" w:cs="Times New Roman"/>
          <w:sz w:val="28"/>
          <w:szCs w:val="28"/>
        </w:rPr>
      </w:pPr>
      <w:r w:rsidRPr="00145AC1">
        <w:rPr>
          <w:rFonts w:ascii="Times New Roman" w:hAnsi="Times New Roman" w:cs="Times New Roman"/>
          <w:sz w:val="28"/>
          <w:szCs w:val="28"/>
        </w:rPr>
        <w:t>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Pr="00145AC1" w:rsidRDefault="00A26908" w:rsidP="00A26908">
      <w:pPr>
        <w:spacing w:after="0" w:line="240" w:lineRule="auto"/>
        <w:ind w:firstLine="709"/>
        <w:jc w:val="both"/>
        <w:rPr>
          <w:rFonts w:ascii="Times New Roman" w:hAnsi="Times New Roman" w:cs="Times New Roman"/>
          <w:sz w:val="28"/>
          <w:szCs w:val="28"/>
        </w:rPr>
      </w:pPr>
      <w:r w:rsidRPr="00145AC1">
        <w:rPr>
          <w:rFonts w:ascii="Times New Roman" w:hAnsi="Times New Roman" w:cs="Times New Roman"/>
          <w:sz w:val="28"/>
          <w:szCs w:val="28"/>
        </w:rPr>
        <w:t>Методические рекомендации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sidRPr="00145AC1">
        <w:rPr>
          <w:rFonts w:ascii="Times New Roman" w:hAnsi="Times New Roman" w:cs="Times New Roman"/>
          <w:sz w:val="28"/>
          <w:szCs w:val="28"/>
        </w:rPr>
        <w:t>ы</w:t>
      </w:r>
      <w:r w:rsidRPr="00145AC1">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Pr="00145AC1" w:rsidRDefault="00A26908" w:rsidP="00A26908">
      <w:pPr>
        <w:spacing w:after="0" w:line="240" w:lineRule="auto"/>
        <w:ind w:firstLine="709"/>
        <w:jc w:val="both"/>
        <w:rPr>
          <w:rFonts w:ascii="Times New Roman" w:hAnsi="Times New Roman" w:cs="Times New Roman"/>
          <w:sz w:val="28"/>
          <w:szCs w:val="28"/>
        </w:rPr>
      </w:pPr>
      <w:r w:rsidRPr="00145AC1">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sidRPr="00145AC1">
        <w:rPr>
          <w:rFonts w:ascii="Times New Roman" w:hAnsi="Times New Roman" w:cs="Times New Roman"/>
          <w:sz w:val="28"/>
          <w:szCs w:val="28"/>
        </w:rPr>
        <w:t xml:space="preserve">и муниципальным </w:t>
      </w:r>
      <w:r w:rsidRPr="00145AC1">
        <w:rPr>
          <w:rFonts w:ascii="Times New Roman" w:hAnsi="Times New Roman" w:cs="Times New Roman"/>
          <w:sz w:val="28"/>
          <w:szCs w:val="28"/>
        </w:rPr>
        <w:t>служащим (далее – служащие)</w:t>
      </w:r>
      <w:r w:rsidR="00A01790" w:rsidRPr="00145AC1">
        <w:rPr>
          <w:rFonts w:ascii="Times New Roman" w:hAnsi="Times New Roman" w:cs="Times New Roman"/>
          <w:sz w:val="28"/>
          <w:szCs w:val="28"/>
        </w:rPr>
        <w:t xml:space="preserve">, а также </w:t>
      </w:r>
      <w:r w:rsidRPr="00145AC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 (далее – подразделение).</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145AC1">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145AC1">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В пункте 34 Методических рекомендаций отмечено, что сведения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Также в Методических рекомендациях </w:t>
      </w:r>
      <w:r w:rsidR="00755AED" w:rsidRPr="00145AC1">
        <w:rPr>
          <w:rFonts w:ascii="Times New Roman" w:hAnsi="Times New Roman" w:cs="Times New Roman"/>
          <w:sz w:val="28"/>
          <w:szCs w:val="28"/>
        </w:rPr>
        <w:t>процитированы положения из Инструкции о порядке заполнения справки о доходах, расходах, об имуществе и обязательствах имущественного характера (далее – справка) с использованием специального программного обеспечения "Справки БК".</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Дополнительно уточнено, что выплаты денежных сумм, осуществленные на основании договоров страхования, подлежат отражению в разделе</w:t>
      </w:r>
      <w:r w:rsidR="00A26908" w:rsidRPr="00145AC1">
        <w:rPr>
          <w:rFonts w:ascii="Times New Roman" w:hAnsi="Times New Roman" w:cs="Times New Roman"/>
          <w:sz w:val="28"/>
          <w:szCs w:val="28"/>
        </w:rPr>
        <w:t> </w:t>
      </w:r>
      <w:r w:rsidRPr="00145AC1">
        <w:rPr>
          <w:rFonts w:ascii="Times New Roman" w:hAnsi="Times New Roman" w:cs="Times New Roman"/>
          <w:sz w:val="28"/>
          <w:szCs w:val="28"/>
        </w:rPr>
        <w:t>1 справки. При этом в отношении договоров страхования, поименованных в подпункте</w:t>
      </w:r>
      <w:r w:rsidR="00A26908" w:rsidRPr="00145AC1">
        <w:rPr>
          <w:rFonts w:ascii="Times New Roman" w:hAnsi="Times New Roman" w:cs="Times New Roman"/>
          <w:sz w:val="28"/>
          <w:szCs w:val="28"/>
        </w:rPr>
        <w:t> </w:t>
      </w:r>
      <w:r w:rsidRPr="00145AC1">
        <w:rPr>
          <w:rFonts w:ascii="Times New Roman" w:hAnsi="Times New Roman" w:cs="Times New Roman"/>
          <w:sz w:val="28"/>
          <w:szCs w:val="28"/>
        </w:rPr>
        <w:t>3 пункта</w:t>
      </w:r>
      <w:r w:rsidRPr="00145AC1">
        <w:t xml:space="preserve"> </w:t>
      </w:r>
      <w:r w:rsidRPr="00145AC1">
        <w:rPr>
          <w:rFonts w:ascii="Times New Roman" w:hAnsi="Times New Roman" w:cs="Times New Roman"/>
          <w:sz w:val="28"/>
          <w:szCs w:val="28"/>
        </w:rPr>
        <w:t>15</w:t>
      </w:r>
      <w:r w:rsidR="00A26908" w:rsidRPr="00145AC1">
        <w:rPr>
          <w:rFonts w:ascii="Times New Roman" w:hAnsi="Times New Roman" w:cs="Times New Roman"/>
          <w:sz w:val="28"/>
          <w:szCs w:val="28"/>
        </w:rPr>
        <w:t>8</w:t>
      </w:r>
      <w:r w:rsidRPr="00145AC1">
        <w:rPr>
          <w:rFonts w:ascii="Times New Roman" w:hAnsi="Times New Roman" w:cs="Times New Roman"/>
          <w:sz w:val="28"/>
          <w:szCs w:val="28"/>
        </w:rPr>
        <w:t xml:space="preserve"> Методических рекомендаций, </w:t>
      </w:r>
      <w:r w:rsidRPr="00145AC1">
        <w:rPr>
          <w:rFonts w:ascii="Times New Roman" w:hAnsi="Times New Roman" w:cs="Times New Roman"/>
          <w:sz w:val="28"/>
          <w:szCs w:val="28"/>
        </w:rPr>
        <w:lastRenderedPageBreak/>
        <w:t xml:space="preserve">доходом является положительный результат (разница между уплаченными страховыми премиями (взносами) и выплаченными </w:t>
      </w:r>
      <w:r w:rsidR="00A01790" w:rsidRPr="00145AC1">
        <w:rPr>
          <w:rFonts w:ascii="Times New Roman" w:hAnsi="Times New Roman" w:cs="Times New Roman"/>
          <w:sz w:val="28"/>
          <w:szCs w:val="28"/>
        </w:rPr>
        <w:t>в результате прекращения таких договоров</w:t>
      </w:r>
      <w:r w:rsidRPr="00145AC1">
        <w:rPr>
          <w:rFonts w:ascii="Times New Roman" w:hAnsi="Times New Roman" w:cs="Times New Roman"/>
          <w:sz w:val="28"/>
          <w:szCs w:val="28"/>
        </w:rPr>
        <w:t xml:space="preserve"> страхования денежными суммами (в отношении каждого договора отдельно)).</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В Методических рекомендациях отмечено, что 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 2 справки заполняется в справках обоих лиц (аналогично в отношении несовершеннолетних детей). При этом в графе </w:t>
      </w:r>
      <w:r w:rsidR="00A26908" w:rsidRPr="00145AC1">
        <w:rPr>
          <w:rFonts w:ascii="Times New Roman" w:hAnsi="Times New Roman" w:cs="Times New Roman"/>
          <w:sz w:val="28"/>
          <w:szCs w:val="28"/>
        </w:rPr>
        <w:t>"</w:t>
      </w:r>
      <w:r w:rsidRPr="00145AC1">
        <w:rPr>
          <w:rFonts w:ascii="Times New Roman" w:hAnsi="Times New Roman" w:cs="Times New Roman"/>
          <w:sz w:val="28"/>
          <w:szCs w:val="28"/>
        </w:rPr>
        <w:t>Сумма сделки</w:t>
      </w:r>
      <w:r w:rsidR="00A26908" w:rsidRPr="00145AC1">
        <w:rPr>
          <w:rFonts w:ascii="Times New Roman" w:hAnsi="Times New Roman" w:cs="Times New Roman"/>
          <w:sz w:val="28"/>
          <w:szCs w:val="28"/>
        </w:rPr>
        <w:t>"</w:t>
      </w:r>
      <w:r w:rsidRPr="00145AC1">
        <w:rPr>
          <w:rFonts w:ascii="Times New Roman" w:hAnsi="Times New Roman" w:cs="Times New Roman"/>
          <w:sz w:val="28"/>
          <w:szCs w:val="28"/>
        </w:rPr>
        <w:t xml:space="preserve"> применимых справок рекомендуется указывать полную стоимость.</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Отмечено, что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sidRPr="00145AC1">
        <w:rPr>
          <w:rFonts w:ascii="Times New Roman" w:hAnsi="Times New Roman" w:cs="Times New Roman"/>
          <w:sz w:val="28"/>
          <w:szCs w:val="28"/>
        </w:rPr>
        <w:t xml:space="preserve"> (в том числе</w:t>
      </w:r>
      <w:r w:rsidR="002E1756" w:rsidRPr="00145AC1">
        <w:rPr>
          <w:rFonts w:ascii="Times New Roman" w:hAnsi="Times New Roman" w:cs="Times New Roman"/>
          <w:sz w:val="28"/>
          <w:szCs w:val="28"/>
        </w:rPr>
        <w:t xml:space="preserve"> в подразделе 6.1 раздела 6 справки</w:t>
      </w:r>
      <w:r w:rsidR="00A26908" w:rsidRPr="00145AC1">
        <w:rPr>
          <w:rFonts w:ascii="Times New Roman" w:hAnsi="Times New Roman" w:cs="Times New Roman"/>
          <w:sz w:val="28"/>
          <w:szCs w:val="28"/>
        </w:rPr>
        <w:t>)</w:t>
      </w:r>
      <w:r w:rsidR="002E1756" w:rsidRPr="00145AC1">
        <w:rPr>
          <w:rFonts w:ascii="Times New Roman" w:hAnsi="Times New Roman" w:cs="Times New Roman"/>
          <w:sz w:val="28"/>
          <w:szCs w:val="28"/>
        </w:rPr>
        <w:t>.</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Методические рекомендации дополнены положением, согласно которому,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sidRPr="00145AC1">
        <w:rPr>
          <w:rFonts w:ascii="Times New Roman" w:hAnsi="Times New Roman" w:cs="Times New Roman"/>
          <w:sz w:val="28"/>
          <w:szCs w:val="28"/>
        </w:rPr>
        <w:t>Так, в частности,</w:t>
      </w:r>
      <w:r w:rsidRPr="00145AC1">
        <w:rPr>
          <w:rFonts w:ascii="Times New Roman" w:hAnsi="Times New Roman" w:cs="Times New Roman"/>
          <w:sz w:val="28"/>
          <w:szCs w:val="28"/>
        </w:rPr>
        <w:t xml:space="preserve"> регистрация транспортных средств носит учетный характер и не служит основанием для возникновения (прекращения) на них права собственности</w:t>
      </w:r>
      <w:r w:rsidR="00A26908" w:rsidRPr="00145AC1">
        <w:rPr>
          <w:rFonts w:ascii="Times New Roman" w:hAnsi="Times New Roman" w:cs="Times New Roman"/>
          <w:sz w:val="28"/>
          <w:szCs w:val="28"/>
        </w:rPr>
        <w:t>.</w:t>
      </w:r>
    </w:p>
    <w:p w:rsidR="00755AED" w:rsidRPr="00145AC1"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Отмечено, что в графе "Место регистрации" подраздела 3.2 раздела 3 справки допускается указание кода подразделения ГИБДД в соответствии со свидетельством о регистрации транспортного средства.</w:t>
      </w:r>
    </w:p>
    <w:p w:rsidR="00755AED"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В разделе 4 справки необходимо отражать информацию о номинальных счетах и счетах эскроу, а также о счетах, открытых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В части графы "Основание участия" подраздела 5.1 раздела 5 справки предусмотрено, что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Одновременно для графы "Номинальная величина обязательства" подраздела 5.2 раздела 5 справки предусмотрено, что отражается информация о цене, которая определена эмитентом при выпуске ценной бумаги (при этом </w:t>
      </w:r>
      <w:r w:rsidRPr="00145AC1">
        <w:rPr>
          <w:rFonts w:ascii="Times New Roman" w:hAnsi="Times New Roman" w:cs="Times New Roman"/>
          <w:sz w:val="28"/>
          <w:szCs w:val="28"/>
        </w:rPr>
        <w:lastRenderedPageBreak/>
        <w:t>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Также в Методических рекомендациях указано, что информация о наличии банковских счетов может быть получена</w:t>
      </w:r>
      <w:r w:rsidR="00A01790" w:rsidRPr="00145AC1">
        <w:rPr>
          <w:rFonts w:ascii="Times New Roman" w:hAnsi="Times New Roman" w:cs="Times New Roman"/>
          <w:sz w:val="28"/>
          <w:szCs w:val="28"/>
        </w:rPr>
        <w:t xml:space="preserve"> лицом, в отношении которого представляется справка,</w:t>
      </w:r>
      <w:r w:rsidRPr="00145AC1">
        <w:rPr>
          <w:rFonts w:ascii="Times New Roman" w:hAnsi="Times New Roman" w:cs="Times New Roman"/>
          <w:sz w:val="28"/>
          <w:szCs w:val="28"/>
        </w:rPr>
        <w:t xml:space="preserve"> у ФНС России.</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Уточнены условия, при которых не требуется в подразделе 6.1 раздела 6 справки одного из супругов указывать все объекты недвижимости, находящиеся в собственност</w:t>
      </w:r>
      <w:r w:rsidR="00A26908" w:rsidRPr="00145AC1">
        <w:rPr>
          <w:rFonts w:ascii="Times New Roman" w:hAnsi="Times New Roman" w:cs="Times New Roman"/>
          <w:sz w:val="28"/>
          <w:szCs w:val="28"/>
        </w:rPr>
        <w:t xml:space="preserve">и другого супруга </w:t>
      </w:r>
      <w:r w:rsidRPr="00145AC1">
        <w:rPr>
          <w:rFonts w:ascii="Times New Roman" w:hAnsi="Times New Roman" w:cs="Times New Roman"/>
          <w:sz w:val="28"/>
          <w:szCs w:val="28"/>
        </w:rPr>
        <w:t>(отсутствует фактическое пользование этим объектом супругом</w:t>
      </w:r>
      <w:r w:rsidR="00A01790" w:rsidRPr="00145AC1">
        <w:rPr>
          <w:rFonts w:ascii="Times New Roman" w:hAnsi="Times New Roman" w:cs="Times New Roman"/>
          <w:sz w:val="28"/>
          <w:szCs w:val="28"/>
        </w:rPr>
        <w:t xml:space="preserve"> и</w:t>
      </w:r>
      <w:r w:rsidRPr="00145AC1">
        <w:rPr>
          <w:rFonts w:ascii="Times New Roman" w:hAnsi="Times New Roman" w:cs="Times New Roman"/>
          <w:sz w:val="28"/>
          <w:szCs w:val="28"/>
        </w:rPr>
        <w:t xml:space="preserve"> эти объекты указаны в подразделе 3.1 справки </w:t>
      </w:r>
      <w:r w:rsidR="00A01790" w:rsidRPr="00145AC1">
        <w:rPr>
          <w:rFonts w:ascii="Times New Roman" w:hAnsi="Times New Roman" w:cs="Times New Roman"/>
          <w:sz w:val="28"/>
          <w:szCs w:val="28"/>
        </w:rPr>
        <w:t xml:space="preserve">одного из супругов </w:t>
      </w:r>
      <w:r w:rsidRPr="00145AC1">
        <w:rPr>
          <w:rFonts w:ascii="Times New Roman" w:hAnsi="Times New Roman" w:cs="Times New Roman"/>
          <w:sz w:val="28"/>
          <w:szCs w:val="28"/>
        </w:rPr>
        <w:t>(аналогично в отношении несовершеннолетних детей)</w:t>
      </w:r>
      <w:r w:rsidR="00A26908" w:rsidRPr="00145AC1">
        <w:rPr>
          <w:rFonts w:ascii="Times New Roman" w:hAnsi="Times New Roman" w:cs="Times New Roman"/>
          <w:sz w:val="28"/>
          <w:szCs w:val="28"/>
        </w:rPr>
        <w:t>)</w:t>
      </w:r>
      <w:r w:rsidRPr="00145AC1">
        <w:rPr>
          <w:rFonts w:ascii="Times New Roman" w:hAnsi="Times New Roman" w:cs="Times New Roman"/>
          <w:sz w:val="28"/>
          <w:szCs w:val="28"/>
        </w:rPr>
        <w:t>.</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Также конкретизированы положения о размере обязательства для целей заполнения подраздела 6.2 раздела 6 справки: указывается оставшийся непогашенным долг с суммой процентов, начисленных по состоянию на отчетную дату, а не до конца периода кредитования.</w:t>
      </w:r>
    </w:p>
    <w:p w:rsidR="002E1756" w:rsidRPr="00145AC1"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Методические рекомендации дополнены примерами срочных обязательств финансового характера, которые подлежат отражению при наличии обстоятельств (выкупленная дебиторская задолженность финансовые обязательства, участником которой в силу Федерального закона от 23 декабря 20103 г. № 177-ФЗ </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О страховании вкладов в банках Российской Федерации</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 xml:space="preserve"> является государственная корпорация </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Агентство по страхованию вкладов</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 и не подлежат отражению (договор срочного банковского вклада).</w:t>
      </w:r>
    </w:p>
    <w:p w:rsidR="002E1756" w:rsidRPr="00145AC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 xml:space="preserve">В отношении подраздела 6.2 раздела 6 справки подробно раскрыт порядок отражения обязательств, возникающих в соответствии с Законом Российской Федерации от 27 ноября 1992 года № 4015-1 </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Об организации страхового дела в Российской Федерации</w:t>
      </w:r>
      <w:r w:rsidR="00CC1DF0" w:rsidRPr="00145AC1">
        <w:rPr>
          <w:rFonts w:ascii="Times New Roman" w:hAnsi="Times New Roman" w:cs="Times New Roman"/>
          <w:sz w:val="28"/>
          <w:szCs w:val="28"/>
        </w:rPr>
        <w:t>"</w:t>
      </w:r>
      <w:r w:rsidRPr="00145AC1">
        <w:rPr>
          <w:rFonts w:ascii="Times New Roman" w:hAnsi="Times New Roman" w:cs="Times New Roman"/>
          <w:sz w:val="28"/>
          <w:szCs w:val="28"/>
        </w:rPr>
        <w:t>.</w:t>
      </w:r>
    </w:p>
    <w:p w:rsidR="004004FC" w:rsidRPr="00145AC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Также в Методических рекомендациях указано, что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145AC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145AC1">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145AC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FF4" w:rsidRDefault="00D02FF4" w:rsidP="00A26908">
      <w:pPr>
        <w:spacing w:after="0" w:line="240" w:lineRule="auto"/>
      </w:pPr>
      <w:r>
        <w:separator/>
      </w:r>
    </w:p>
  </w:endnote>
  <w:endnote w:type="continuationSeparator" w:id="0">
    <w:p w:rsidR="00D02FF4" w:rsidRDefault="00D02FF4"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FF4" w:rsidRDefault="00D02FF4" w:rsidP="00A26908">
      <w:pPr>
        <w:spacing w:after="0" w:line="240" w:lineRule="auto"/>
      </w:pPr>
      <w:r>
        <w:separator/>
      </w:r>
    </w:p>
  </w:footnote>
  <w:footnote w:type="continuationSeparator" w:id="0">
    <w:p w:rsidR="00D02FF4" w:rsidRDefault="00D02FF4" w:rsidP="00A2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4379F7">
          <w:rPr>
            <w:rFonts w:ascii="Times New Roman" w:hAnsi="Times New Roman" w:cs="Times New Roman"/>
            <w:noProof/>
            <w:sz w:val="28"/>
          </w:rPr>
          <w:t>2</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91"/>
    <w:rsid w:val="00030422"/>
    <w:rsid w:val="001252D5"/>
    <w:rsid w:val="00127E5D"/>
    <w:rsid w:val="00145AC1"/>
    <w:rsid w:val="002326CA"/>
    <w:rsid w:val="002504DD"/>
    <w:rsid w:val="002E1756"/>
    <w:rsid w:val="00336F29"/>
    <w:rsid w:val="00397AE6"/>
    <w:rsid w:val="003E7D23"/>
    <w:rsid w:val="004004FC"/>
    <w:rsid w:val="00423934"/>
    <w:rsid w:val="004379F7"/>
    <w:rsid w:val="00462E67"/>
    <w:rsid w:val="004C2296"/>
    <w:rsid w:val="005B1CB5"/>
    <w:rsid w:val="0060324C"/>
    <w:rsid w:val="00613580"/>
    <w:rsid w:val="006B5CBC"/>
    <w:rsid w:val="006D69D4"/>
    <w:rsid w:val="00730EBE"/>
    <w:rsid w:val="00755AED"/>
    <w:rsid w:val="00952738"/>
    <w:rsid w:val="009A7FE6"/>
    <w:rsid w:val="00A01790"/>
    <w:rsid w:val="00A26908"/>
    <w:rsid w:val="00A32299"/>
    <w:rsid w:val="00A355BF"/>
    <w:rsid w:val="00A832E3"/>
    <w:rsid w:val="00BA695E"/>
    <w:rsid w:val="00BC3678"/>
    <w:rsid w:val="00BF0EA6"/>
    <w:rsid w:val="00C70969"/>
    <w:rsid w:val="00C86F2D"/>
    <w:rsid w:val="00CC1DF0"/>
    <w:rsid w:val="00D02FF4"/>
    <w:rsid w:val="00D06B44"/>
    <w:rsid w:val="00D3316F"/>
    <w:rsid w:val="00DE7DB7"/>
    <w:rsid w:val="00ED541A"/>
    <w:rsid w:val="00F5108C"/>
    <w:rsid w:val="00F834E7"/>
    <w:rsid w:val="00F91A91"/>
    <w:rsid w:val="00F92E00"/>
    <w:rsid w:val="00FA44F5"/>
    <w:rsid w:val="00FE5FC7"/>
    <w:rsid w:val="00FF4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694F9-493C-438F-9D03-8E2E39D2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Груздева Ольга Сергеевна</cp:lastModifiedBy>
  <cp:revision>2</cp:revision>
  <cp:lastPrinted>2019-12-26T15:30:00Z</cp:lastPrinted>
  <dcterms:created xsi:type="dcterms:W3CDTF">2020-01-28T04:19:00Z</dcterms:created>
  <dcterms:modified xsi:type="dcterms:W3CDTF">2020-01-28T04:19:00Z</dcterms:modified>
</cp:coreProperties>
</file>