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4"/>
        <w:spacing w:after="0" w:line="240" w:lineRule="auto"/>
        <w:contextualSpacing/>
        <w:jc w:val="center"/>
        <w:rPr>
          <w:szCs w:val="20"/>
        </w:rPr>
      </w:pPr>
      <w:r>
        <w:fldChar w:fldCharType="begin"/>
      </w:r>
      <w:r>
        <w:instrText xml:space="preserve"> INCLUDEPICTURE  "cid:image002.png@01D782E2.97B3ED10" \* MERGEFORMATINET </w:instrText>
      </w:r>
      <w:r>
        <w:fldChar w:fldCharType="separate"/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  <w:fldChar w:fldCharType="end"/>
      </w:r>
      <w:r>
        <w:rPr>
          <w:szCs w:val="20"/>
        </w:rPr>
      </w:r>
      <w:r>
        <w:rPr>
          <w:szCs w:val="20"/>
        </w:rPr>
      </w:r>
    </w:p>
    <w:p>
      <w:pPr>
        <w:pStyle w:val="864"/>
        <w:spacing w:after="0" w:line="240" w:lineRule="auto"/>
        <w:contextualSpacing/>
        <w:jc w:val="center"/>
        <w:rPr>
          <w:szCs w:val="20"/>
        </w:rPr>
      </w:pPr>
      <w:r>
        <w:rPr>
          <w:szCs w:val="20"/>
        </w:rPr>
      </w:r>
      <w:r>
        <w:rPr>
          <w:szCs w:val="20"/>
        </w:rPr>
      </w:r>
      <w:r>
        <w:rPr>
          <w:szCs w:val="20"/>
        </w:rPr>
      </w:r>
    </w:p>
    <w:p>
      <w:pPr>
        <w:pStyle w:val="864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КОНТРОЛЬНОЕ УПРАВЛЕНИЕ НОВОСИБИРСКОЙ ОБЛАСТИ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64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4"/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ПРИКАЗ</w:t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pStyle w:val="864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4"/>
        <w:tabs>
          <w:tab w:val="left" w:pos="8931" w:leader="none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  <w:t xml:space="preserve">.__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  <w:t xml:space="preserve">.2024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____-</w:t>
      </w:r>
      <w:r>
        <w:rPr>
          <w:rFonts w:ascii="Times New Roman" w:hAnsi="Times New Roman"/>
          <w:sz w:val="28"/>
          <w:szCs w:val="28"/>
        </w:rPr>
        <w:t xml:space="preserve">НПА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4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Новосибирск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9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6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приказ контрольного управления Новосибирской области от 29.11.2018 № 374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типового положения о закупке товаров, работ, услуг отдельными видами юридических лиц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8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57" w:lineRule="atLeast"/>
        <w:ind w:left="0" w:right="0" w:firstLine="709"/>
        <w:jc w:val="both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целях совершенствования закупок товаров, работ, услуг государственных бюджетных учреждений, государственных автономных учреждений, государственных унитарных предприятий Новосибирской области, являющихся заказчиками в соответствии с частью 2 статьи 1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Федерального закона от 18.07.2011 № 223-ФЗ «О закупках товаров, работ, услуг отдельными видами юридических лиц»,</w:t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sz w:val="22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2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sz w:val="22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pacing w:val="1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/>
          <w:spacing w:val="100"/>
          <w:sz w:val="28"/>
          <w:szCs w:val="28"/>
        </w:rPr>
        <w:t xml:space="preserve">риказыва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ю: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2"/>
        </w:rPr>
      </w:r>
    </w:p>
    <w:p>
      <w:pPr>
        <w:pStyle w:val="86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приказ контрольного управления Новосибирской области от 29.11.2018 </w:t>
      </w:r>
      <w:r>
        <w:rPr>
          <w:rFonts w:ascii="Times New Roman" w:hAnsi="Times New Roman"/>
          <w:sz w:val="28"/>
          <w:szCs w:val="28"/>
        </w:rPr>
        <w:t xml:space="preserve">№ 374 «Об утверждении типового положения о закупке товаров, работ, услуг отдельными видами юридических лиц»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Типово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закупке товаров, работ, услуг отдельными видами юридических лиц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1. 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 пункте 6.11.3: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1) подпункт 6 после слов «коммунальными отходами,» дополнить словами «</w:t>
      </w:r>
      <w:r>
        <w:rPr>
          <w:rFonts w:ascii="Times New Roman" w:hAnsi="Times New Roman"/>
          <w:sz w:val="28"/>
          <w:szCs w:val="28"/>
          <w:highlight w:val="none"/>
        </w:rPr>
        <w:t xml:space="preserve">отходами I и II классов опасности,</w:t>
      </w:r>
      <w:r>
        <w:rPr>
          <w:rFonts w:ascii="Times New Roman" w:hAnsi="Times New Roman"/>
          <w:sz w:val="28"/>
          <w:szCs w:val="28"/>
          <w:highlight w:val="none"/>
        </w:rPr>
        <w:t xml:space="preserve">», исключить слова «</w:t>
      </w:r>
      <w:r>
        <w:rPr>
          <w:rFonts w:ascii="Times New Roman" w:hAnsi="Times New Roman"/>
          <w:sz w:val="28"/>
          <w:szCs w:val="28"/>
          <w:highlight w:val="none"/>
        </w:rPr>
        <w:t xml:space="preserve">по регулируемым в соответствии с законодательством Российской Федерации ценам (тарифам)</w:t>
      </w:r>
      <w:r>
        <w:rPr>
          <w:rFonts w:ascii="Times New Roman" w:hAnsi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2) в подпункте 11 слово «учреждений» заменить словом «организаций»;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3) в подпункте 14 слова «образовательным учреждением» заменить словами «образовательной организацией»;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4) подпункт 18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«18) </w:t>
      </w:r>
      <w:r>
        <w:rPr>
          <w:rFonts w:ascii="Times New Roman" w:hAnsi="Times New Roman"/>
          <w:sz w:val="28"/>
          <w:szCs w:val="28"/>
          <w:highlight w:val="none"/>
        </w:rPr>
        <w:t xml:space="preserve">заключение договора на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выполнение работ,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оказание услуг по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техническому обслуживанию, </w:t>
      </w:r>
      <w:r>
        <w:rPr>
          <w:rFonts w:ascii="Times New Roman" w:hAnsi="Times New Roman"/>
          <w:sz w:val="28"/>
          <w:szCs w:val="28"/>
          <w:highlight w:val="none"/>
        </w:rPr>
        <w:t xml:space="preserve">эксплуатационному контролю зданий, сооружений,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сохранению объектов культурного наследия (памятников истории и культуры) народов Российской Федерации,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содержанию и ремонту</w:t>
      </w:r>
      <w:r>
        <w:rPr>
          <w:rFonts w:ascii="Times New Roman" w:hAnsi="Times New Roman"/>
          <w:sz w:val="28"/>
          <w:szCs w:val="28"/>
          <w:highlight w:val="none"/>
        </w:rPr>
        <w:t xml:space="preserve"> общего имущества в здании,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одного или нескольких нежилых помещений, принадлежащих заказчику на праве собственности, или закрепленных за ним на праве хозяйственного ведения либо на праве оперативного управления, или переданных заказчику на ином законном осн</w:t>
      </w:r>
      <w:r>
        <w:rPr>
          <w:rFonts w:ascii="Times New Roman" w:hAnsi="Times New Roman"/>
          <w:sz w:val="28"/>
          <w:szCs w:val="28"/>
          <w:highlight w:val="none"/>
        </w:rPr>
        <w:t xml:space="preserve">овании в соответствии с законодательством Российской Федерации,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на оказание услуг по холодному и (или) горячему водоснабжению, водоотведению, электроснабжению, теплоснабжению, газоснабжению,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услуг по охране,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услуг по обращению с твердыми коммунальными отход</w:t>
      </w:r>
      <w:r>
        <w:rPr>
          <w:rFonts w:ascii="Times New Roman" w:hAnsi="Times New Roman"/>
          <w:sz w:val="28"/>
          <w:szCs w:val="28"/>
          <w:highlight w:val="none"/>
        </w:rPr>
        <w:t xml:space="preserve">ами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в случае, если данные работы, услуги оказываются другому лицу или другим лицам, пользующимся нежилыми помещениями, находящимися в здании, в котором расположены помещения, принадлежащие заказчику на праве собственности, или закрепленные за ним на праве х</w:t>
      </w:r>
      <w:r>
        <w:rPr>
          <w:rFonts w:ascii="Times New Roman" w:hAnsi="Times New Roman"/>
          <w:sz w:val="28"/>
          <w:szCs w:val="28"/>
          <w:highlight w:val="none"/>
        </w:rPr>
        <w:t xml:space="preserve">озяйственного ведения либо на праве оперативного управления, или переданные заказчику на ином законном основании в соответствии с законодательством Российской Федерации.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При отсутствии возможности заключения договора непосредственно с подрядчиком, исполнит</w:t>
      </w:r>
      <w:r>
        <w:rPr>
          <w:rFonts w:ascii="Times New Roman" w:hAnsi="Times New Roman"/>
          <w:sz w:val="28"/>
          <w:szCs w:val="28"/>
          <w:highlight w:val="none"/>
        </w:rPr>
        <w:t xml:space="preserve">елем указанных в настоящем пункте работ, услуг заказчик вправе заключить договор, предусматривающий оплату стоимости указанных в настоящем пункте работ, услуг пропорционально размеру площади помещений, принадлежащих ему на праве собственности, или закрепле</w:t>
      </w:r>
      <w:r>
        <w:rPr>
          <w:rFonts w:ascii="Times New Roman" w:hAnsi="Times New Roman"/>
          <w:sz w:val="28"/>
          <w:szCs w:val="28"/>
          <w:highlight w:val="none"/>
        </w:rPr>
        <w:t xml:space="preserve">нных за ним на праве хозяйственного ведения либо на праве оперативного управления, или переданных ему на ином законном основании в соответствии с законодательством Российской Федерации, в общей площади здания, с лицом, заключившим в соответствии с законодат</w:t>
      </w:r>
      <w:r>
        <w:rPr>
          <w:rFonts w:ascii="Times New Roman" w:hAnsi="Times New Roman"/>
          <w:sz w:val="28"/>
          <w:szCs w:val="28"/>
          <w:highlight w:val="none"/>
        </w:rPr>
        <w:t xml:space="preserve">ельством Российской Федерации договор (контракт) на выполнение работ, оказание услуг, указанных в настоящем пункте;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5) подпункт 22 после слов «указанных мероприятий» дополнить словами «, </w:t>
      </w:r>
      <w:r>
        <w:rPr>
          <w:rFonts w:ascii="Times New Roman" w:hAnsi="Times New Roman"/>
          <w:sz w:val="28"/>
          <w:szCs w:val="28"/>
          <w:highlight w:val="none"/>
        </w:rPr>
        <w:t xml:space="preserve">а также связанных с участием в официальных физкультурных мероприятиях и спортивных мероприятиях</w:t>
      </w:r>
      <w:r>
        <w:rPr>
          <w:rFonts w:ascii="Times New Roman" w:hAnsi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tabs>
          <w:tab w:val="left" w:pos="1967" w:leader="none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6) 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в подпункте 23 слова «один миллион» заменить словами «полтора миллиона»;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7) в подпункте 27 слово «банковской» заменить словом «независимой»;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8) в подпункте 41 слова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предназначенного для оказания услуги</w:t>
      </w:r>
      <w:r>
        <w:rPr>
          <w:rFonts w:ascii="Times New Roman" w:hAnsi="Times New Roman"/>
          <w:sz w:val="28"/>
          <w:szCs w:val="28"/>
          <w:highlight w:val="none"/>
        </w:rPr>
        <w:t xml:space="preserve">.» заменить словами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предназначенного для оказания услуг;»;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9) дополнить подпунктом 42 следующего содержания: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«42)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осуществление закупки, во исполнение принятого в установленном порядке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Правительством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решения о приобретении в государственную собственность Новосибирской области недвижимого имущества</w:t>
      </w:r>
      <w:r>
        <w:rPr>
          <w:rFonts w:ascii="Times New Roman" w:hAnsi="Times New Roman"/>
          <w:sz w:val="28"/>
          <w:szCs w:val="28"/>
          <w:highlight w:val="none"/>
        </w:rPr>
        <w:t xml:space="preserve">.»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2. Пункт 6.11.6 исключить. 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tabs>
          <w:tab w:val="left" w:pos="8364" w:leader="none"/>
        </w:tabs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ачальник управления</w:t>
        <w:tab/>
      </w:r>
      <w:r>
        <w:rPr>
          <w:rFonts w:ascii="Times New Roman" w:hAnsi="Times New Roman" w:cs="Times New Roman"/>
          <w:sz w:val="28"/>
          <w:szCs w:val="28"/>
        </w:rPr>
        <w:t xml:space="preserve">С.Л. Шарпф</w:t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pStyle w:val="868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pStyle w:val="868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68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68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68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68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Л.А. Большакова</w:t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pStyle w:val="868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238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64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49</w:t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5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position w:val="0"/>
        <w:sz w:val="33"/>
        <w:szCs w:val="33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position w:val="0"/>
        <w:sz w:val="33"/>
        <w:szCs w:val="33"/>
        <w:u w:val="none"/>
        <w:lang w:val="ru-RU"/>
      </w:rPr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3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46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37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0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8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53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2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9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69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29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501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73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45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17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89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61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33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05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15"/>
        <w:position w:val="0"/>
        <w:sz w:val="33"/>
        <w:szCs w:val="33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position w:val="0"/>
        <w:sz w:val="33"/>
        <w:szCs w:val="33"/>
        <w:u w:val="none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position w:val="0"/>
        <w:sz w:val="33"/>
        <w:szCs w:val="33"/>
        <w:u w:val="none"/>
        <w:lang w:val="ru-RU"/>
      </w:rPr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1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position w:val="0"/>
        <w:sz w:val="33"/>
        <w:szCs w:val="33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15"/>
        <w:position w:val="0"/>
        <w:sz w:val="33"/>
        <w:szCs w:val="33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position w:val="0"/>
        <w:sz w:val="33"/>
        <w:szCs w:val="33"/>
        <w:u w:val="none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position w:val="0"/>
        <w:sz w:val="33"/>
        <w:szCs w:val="33"/>
        <w:u w:val="none"/>
        <w:lang w:val="ru-RU"/>
      </w:rPr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4"/>
    <w:next w:val="864"/>
    <w:link w:val="687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4"/>
    <w:next w:val="864"/>
    <w:link w:val="689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4"/>
    <w:next w:val="864"/>
    <w:link w:val="69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4"/>
    <w:next w:val="864"/>
    <w:link w:val="69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4"/>
    <w:next w:val="864"/>
    <w:link w:val="69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4"/>
    <w:next w:val="864"/>
    <w:link w:val="69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4"/>
    <w:next w:val="864"/>
    <w:link w:val="69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4"/>
    <w:next w:val="864"/>
    <w:link w:val="70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4"/>
    <w:next w:val="864"/>
    <w:link w:val="703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64"/>
    <w:uiPriority w:val="34"/>
    <w:qFormat/>
    <w:pPr>
      <w:ind w:left="720"/>
      <w:contextualSpacing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64"/>
    <w:next w:val="864"/>
    <w:link w:val="707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07">
    <w:name w:val="Title Char"/>
    <w:link w:val="706"/>
    <w:uiPriority w:val="10"/>
    <w:rPr>
      <w:sz w:val="48"/>
      <w:szCs w:val="48"/>
    </w:rPr>
  </w:style>
  <w:style w:type="paragraph" w:styleId="708">
    <w:name w:val="Subtitle"/>
    <w:basedOn w:val="864"/>
    <w:next w:val="864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link w:val="708"/>
    <w:uiPriority w:val="11"/>
    <w:rPr>
      <w:sz w:val="24"/>
      <w:szCs w:val="24"/>
    </w:rPr>
  </w:style>
  <w:style w:type="paragraph" w:styleId="710">
    <w:name w:val="Quote"/>
    <w:basedOn w:val="864"/>
    <w:next w:val="864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4"/>
    <w:next w:val="864"/>
    <w:link w:val="71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paragraph" w:styleId="714">
    <w:name w:val="Header"/>
    <w:basedOn w:val="864"/>
    <w:link w:val="71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15">
    <w:name w:val="Header Char"/>
    <w:link w:val="714"/>
    <w:uiPriority w:val="99"/>
  </w:style>
  <w:style w:type="paragraph" w:styleId="716">
    <w:name w:val="Footer"/>
    <w:basedOn w:val="864"/>
    <w:link w:val="719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17">
    <w:name w:val="Footer Char"/>
    <w:link w:val="716"/>
    <w:uiPriority w:val="99"/>
  </w:style>
  <w:style w:type="paragraph" w:styleId="718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716"/>
    <w:uiPriority w:val="99"/>
  </w:style>
  <w:style w:type="table" w:styleId="72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5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5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5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5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6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6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6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spacing w:after="57"/>
      <w:ind w:left="0" w:right="0" w:firstLine="0"/>
    </w:pPr>
  </w:style>
  <w:style w:type="paragraph" w:styleId="854">
    <w:name w:val="toc 2"/>
    <w:basedOn w:val="864"/>
    <w:next w:val="864"/>
    <w:uiPriority w:val="39"/>
    <w:unhideWhenUsed/>
    <w:pPr>
      <w:spacing w:after="57"/>
      <w:ind w:left="283" w:right="0" w:firstLine="0"/>
    </w:pPr>
  </w:style>
  <w:style w:type="paragraph" w:styleId="855">
    <w:name w:val="toc 3"/>
    <w:basedOn w:val="864"/>
    <w:next w:val="864"/>
    <w:uiPriority w:val="39"/>
    <w:unhideWhenUsed/>
    <w:pPr>
      <w:spacing w:after="57"/>
      <w:ind w:left="567" w:right="0" w:firstLine="0"/>
    </w:pPr>
  </w:style>
  <w:style w:type="paragraph" w:styleId="856">
    <w:name w:val="toc 4"/>
    <w:basedOn w:val="864"/>
    <w:next w:val="864"/>
    <w:uiPriority w:val="39"/>
    <w:unhideWhenUsed/>
    <w:pPr>
      <w:spacing w:after="57"/>
      <w:ind w:left="850" w:right="0" w:firstLine="0"/>
    </w:pPr>
  </w:style>
  <w:style w:type="paragraph" w:styleId="857">
    <w:name w:val="toc 5"/>
    <w:basedOn w:val="864"/>
    <w:next w:val="864"/>
    <w:uiPriority w:val="39"/>
    <w:unhideWhenUsed/>
    <w:pPr>
      <w:spacing w:after="57"/>
      <w:ind w:left="1134" w:right="0" w:firstLine="0"/>
    </w:pPr>
  </w:style>
  <w:style w:type="paragraph" w:styleId="858">
    <w:name w:val="toc 6"/>
    <w:basedOn w:val="864"/>
    <w:next w:val="864"/>
    <w:uiPriority w:val="39"/>
    <w:unhideWhenUsed/>
    <w:pPr>
      <w:spacing w:after="57"/>
      <w:ind w:left="1417" w:right="0" w:firstLine="0"/>
    </w:pPr>
  </w:style>
  <w:style w:type="paragraph" w:styleId="859">
    <w:name w:val="toc 7"/>
    <w:basedOn w:val="864"/>
    <w:next w:val="864"/>
    <w:uiPriority w:val="39"/>
    <w:unhideWhenUsed/>
    <w:pPr>
      <w:spacing w:after="57"/>
      <w:ind w:left="1701" w:right="0" w:firstLine="0"/>
    </w:pPr>
  </w:style>
  <w:style w:type="paragraph" w:styleId="860">
    <w:name w:val="toc 8"/>
    <w:basedOn w:val="864"/>
    <w:next w:val="864"/>
    <w:uiPriority w:val="39"/>
    <w:unhideWhenUsed/>
    <w:pPr>
      <w:spacing w:after="57"/>
      <w:ind w:left="1984" w:right="0" w:firstLine="0"/>
    </w:pPr>
  </w:style>
  <w:style w:type="paragraph" w:styleId="861">
    <w:name w:val="toc 9"/>
    <w:basedOn w:val="864"/>
    <w:next w:val="864"/>
    <w:uiPriority w:val="39"/>
    <w:unhideWhenUsed/>
    <w:pPr>
      <w:spacing w:after="57"/>
      <w:ind w:left="2268" w:right="0" w:firstLine="0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next w:val="864"/>
    <w:link w:val="864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65">
    <w:name w:val="Основной шрифт абзаца"/>
    <w:next w:val="865"/>
    <w:link w:val="864"/>
    <w:uiPriority w:val="1"/>
    <w:unhideWhenUsed/>
  </w:style>
  <w:style w:type="table" w:styleId="866">
    <w:name w:val="Обычная таблица"/>
    <w:next w:val="866"/>
    <w:link w:val="864"/>
    <w:uiPriority w:val="99"/>
    <w:semiHidden/>
    <w:unhideWhenUsed/>
    <w:tblPr/>
  </w:style>
  <w:style w:type="numbering" w:styleId="867">
    <w:name w:val="Нет списка"/>
    <w:next w:val="867"/>
    <w:link w:val="864"/>
    <w:uiPriority w:val="99"/>
    <w:semiHidden/>
    <w:unhideWhenUsed/>
  </w:style>
  <w:style w:type="paragraph" w:styleId="868">
    <w:name w:val="ConsPlusNormal"/>
    <w:next w:val="868"/>
    <w:link w:val="864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869">
    <w:name w:val="ConsPlusTitle"/>
    <w:next w:val="869"/>
    <w:link w:val="864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paragraph" w:styleId="870">
    <w:name w:val="Верхний колонтитул"/>
    <w:basedOn w:val="864"/>
    <w:next w:val="870"/>
    <w:link w:val="871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  <w:rPr>
      <w:sz w:val="20"/>
      <w:szCs w:val="20"/>
      <w:lang w:val="en-US" w:eastAsia="en-US"/>
    </w:rPr>
  </w:style>
  <w:style w:type="character" w:styleId="871">
    <w:name w:val="Верхний колонтитул Знак"/>
    <w:next w:val="871"/>
    <w:link w:val="870"/>
    <w:uiPriority w:val="99"/>
    <w:rPr>
      <w:rFonts w:ascii="Calibri" w:hAnsi="Calibri" w:eastAsia="Calibri" w:cs="Times New Roman"/>
    </w:rPr>
  </w:style>
  <w:style w:type="paragraph" w:styleId="872">
    <w:name w:val="Нижний колонтитул"/>
    <w:basedOn w:val="864"/>
    <w:next w:val="872"/>
    <w:link w:val="873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  <w:rPr>
      <w:sz w:val="20"/>
      <w:szCs w:val="20"/>
      <w:lang w:val="en-US" w:eastAsia="en-US"/>
    </w:rPr>
  </w:style>
  <w:style w:type="character" w:styleId="873">
    <w:name w:val="Нижний колонтитул Знак"/>
    <w:next w:val="873"/>
    <w:link w:val="872"/>
    <w:uiPriority w:val="99"/>
    <w:rPr>
      <w:rFonts w:ascii="Calibri" w:hAnsi="Calibri" w:eastAsia="Calibri" w:cs="Times New Roman"/>
    </w:rPr>
  </w:style>
  <w:style w:type="paragraph" w:styleId="874">
    <w:name w:val="Абзац списка"/>
    <w:basedOn w:val="864"/>
    <w:next w:val="874"/>
    <w:link w:val="864"/>
    <w:uiPriority w:val="34"/>
    <w:qFormat/>
    <w:pPr>
      <w:ind w:left="720"/>
      <w:contextualSpacing/>
    </w:pPr>
  </w:style>
  <w:style w:type="paragraph" w:styleId="875">
    <w:name w:val="Текст выноски"/>
    <w:basedOn w:val="864"/>
    <w:next w:val="875"/>
    <w:link w:val="876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en-US" w:eastAsia="en-US"/>
    </w:rPr>
  </w:style>
  <w:style w:type="character" w:styleId="876">
    <w:name w:val="Текст выноски Знак"/>
    <w:next w:val="876"/>
    <w:link w:val="875"/>
    <w:uiPriority w:val="99"/>
    <w:semiHidden/>
    <w:rPr>
      <w:rFonts w:ascii="Segoe UI" w:hAnsi="Segoe UI" w:eastAsia="Calibri" w:cs="Segoe UI"/>
      <w:sz w:val="18"/>
      <w:szCs w:val="18"/>
    </w:rPr>
  </w:style>
  <w:style w:type="character" w:styleId="877">
    <w:name w:val="Основной текст + 16;5 pt;Интервал 0 pt"/>
    <w:next w:val="877"/>
    <w:link w:val="864"/>
    <w:rPr>
      <w:rFonts w:ascii="Times New Roman" w:hAnsi="Times New Roman" w:eastAsia="Times New Roman" w:cs="Times New Roman"/>
      <w:color w:val="000000"/>
      <w:spacing w:val="12"/>
      <w:position w:val="0"/>
      <w:sz w:val="33"/>
      <w:szCs w:val="33"/>
      <w:u w:val="none"/>
      <w:lang w:val="ru-RU"/>
    </w:rPr>
  </w:style>
  <w:style w:type="character" w:styleId="878">
    <w:name w:val="Основной текст_"/>
    <w:next w:val="878"/>
    <w:link w:val="879"/>
    <w:rPr>
      <w:rFonts w:ascii="Times New Roman" w:hAnsi="Times New Roman" w:eastAsia="Times New Roman"/>
      <w:spacing w:val="11"/>
      <w:sz w:val="34"/>
      <w:szCs w:val="34"/>
      <w:shd w:val="clear" w:color="auto" w:fill="ffffff"/>
    </w:rPr>
  </w:style>
  <w:style w:type="paragraph" w:styleId="879">
    <w:name w:val="Основной текст1"/>
    <w:basedOn w:val="864"/>
    <w:next w:val="879"/>
    <w:link w:val="878"/>
    <w:pPr>
      <w:widowControl w:val="off"/>
      <w:shd w:val="clear" w:color="auto" w:fill="ffffff"/>
      <w:spacing w:after="0" w:line="1330" w:lineRule="exact"/>
      <w:ind w:hanging="1940"/>
    </w:pPr>
    <w:rPr>
      <w:rFonts w:ascii="Times New Roman" w:hAnsi="Times New Roman" w:eastAsia="Times New Roman"/>
      <w:spacing w:val="11"/>
      <w:sz w:val="34"/>
      <w:szCs w:val="34"/>
      <w:lang w:val="en-US" w:eastAsia="en-US"/>
    </w:rPr>
  </w:style>
  <w:style w:type="table" w:styleId="880">
    <w:name w:val="Сетка таблицы"/>
    <w:basedOn w:val="866"/>
    <w:next w:val="880"/>
    <w:link w:val="864"/>
    <w:uiPriority w:val="39"/>
    <w:tblPr/>
  </w:style>
  <w:style w:type="character" w:styleId="881">
    <w:name w:val="Гиперссылка"/>
    <w:next w:val="881"/>
    <w:link w:val="864"/>
    <w:uiPriority w:val="99"/>
    <w:semiHidden/>
    <w:unhideWhenUsed/>
    <w:rPr>
      <w:color w:val="0000ff"/>
      <w:u w:val="single"/>
    </w:rPr>
  </w:style>
  <w:style w:type="character" w:styleId="882">
    <w:name w:val="Знак примечания"/>
    <w:next w:val="882"/>
    <w:link w:val="864"/>
    <w:uiPriority w:val="99"/>
    <w:semiHidden/>
    <w:unhideWhenUsed/>
    <w:rPr>
      <w:sz w:val="16"/>
      <w:szCs w:val="16"/>
    </w:rPr>
  </w:style>
  <w:style w:type="paragraph" w:styleId="883">
    <w:name w:val="Текст примечания"/>
    <w:basedOn w:val="864"/>
    <w:next w:val="883"/>
    <w:link w:val="884"/>
    <w:uiPriority w:val="99"/>
    <w:semiHidden/>
    <w:unhideWhenUsed/>
    <w:rPr>
      <w:sz w:val="20"/>
      <w:szCs w:val="20"/>
      <w:lang w:val="en-US"/>
    </w:rPr>
  </w:style>
  <w:style w:type="character" w:styleId="884">
    <w:name w:val="Текст примечания Знак"/>
    <w:next w:val="884"/>
    <w:link w:val="883"/>
    <w:uiPriority w:val="99"/>
    <w:semiHidden/>
    <w:rPr>
      <w:lang w:eastAsia="en-US"/>
    </w:rPr>
  </w:style>
  <w:style w:type="paragraph" w:styleId="885">
    <w:name w:val="Тема примечания"/>
    <w:basedOn w:val="883"/>
    <w:next w:val="883"/>
    <w:link w:val="886"/>
    <w:uiPriority w:val="99"/>
    <w:semiHidden/>
    <w:unhideWhenUsed/>
    <w:rPr>
      <w:b/>
      <w:bCs/>
    </w:rPr>
  </w:style>
  <w:style w:type="character" w:styleId="886">
    <w:name w:val="Тема примечания Знак"/>
    <w:next w:val="886"/>
    <w:link w:val="885"/>
    <w:uiPriority w:val="99"/>
    <w:semiHidden/>
    <w:rPr>
      <w:b/>
      <w:bCs/>
      <w:lang w:eastAsia="en-US"/>
    </w:rPr>
  </w:style>
  <w:style w:type="character" w:styleId="887" w:default="1">
    <w:name w:val="Default Paragraph Font"/>
    <w:uiPriority w:val="1"/>
    <w:semiHidden/>
    <w:unhideWhenUsed/>
  </w:style>
  <w:style w:type="numbering" w:styleId="888" w:default="1">
    <w:name w:val="No List"/>
    <w:uiPriority w:val="99"/>
    <w:semiHidden/>
    <w:unhideWhenUsed/>
  </w:style>
  <w:style w:type="table" w:styleId="88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Толмачева Кристина Олеговна</dc:creator>
  <cp:revision>8</cp:revision>
  <dcterms:created xsi:type="dcterms:W3CDTF">2022-12-13T05:35:00Z</dcterms:created>
  <dcterms:modified xsi:type="dcterms:W3CDTF">2024-03-18T09:04:44Z</dcterms:modified>
  <cp:version>1048576</cp:version>
</cp:coreProperties>
</file>