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contextualSpacing/>
        <w:jc w:val="center"/>
        <w:spacing w:before="0" w:after="0" w:line="240" w:lineRule="auto"/>
        <w:rPr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Cs w:val="20"/>
        </w:rPr>
      </w:r>
      <w:r>
        <w:rPr>
          <w:szCs w:val="20"/>
        </w:rPr>
      </w:r>
    </w:p>
    <w:p>
      <w:pPr>
        <w:pStyle w:val="867"/>
        <w:contextualSpacing/>
        <w:jc w:val="center"/>
        <w:spacing w:before="0" w:after="0" w:line="240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67"/>
        <w:contextualSpacing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УПРАВЛЕНИЕ НОВОСИБИРСКОЙ ОБЛАСТИ</w:t>
      </w:r>
      <w:r/>
    </w:p>
    <w:p>
      <w:pPr>
        <w:pStyle w:val="867"/>
        <w:contextualSpacing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7"/>
        <w:contextualSpacing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36"/>
          <w:szCs w:val="36"/>
        </w:rPr>
        <w:t xml:space="preserve">ПРИКАЗ</w:t>
      </w:r>
      <w:r/>
    </w:p>
    <w:p>
      <w:pPr>
        <w:pStyle w:val="867"/>
        <w:contextualSpacing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7"/>
        <w:contextualSpacing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__.__.202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№____ НПА</w:t>
      </w:r>
      <w:r/>
    </w:p>
    <w:p>
      <w:pPr>
        <w:pStyle w:val="867"/>
        <w:contextualSpacing/>
        <w:jc w:val="center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г. Новосибирск</w:t>
      </w:r>
      <w:r/>
    </w:p>
    <w:p>
      <w:pPr>
        <w:pStyle w:val="953"/>
        <w:contextualSpacing/>
        <w:jc w:val="left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jc w:val="center"/>
        <w:spacing w:before="0"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контрольного управления Новосибирской области от 29.11.2018 № 374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типового положения о закупке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52"/>
        <w:contextualSpacing/>
        <w:ind w:left="0" w:right="0" w:firstLine="0"/>
        <w:jc w:val="left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18.07.2011 № 223-ФЗ «О закупках товаров,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бот, услуг отдельными видами юридических лиц»     (далее – Федеральный закон № 223-ФЗ), подпунктом 4 пункта 1 Положения о контрольном управлении Новосибирской области, утвержденного постановлением Правительства Новосибирской области от 20.07.2016 № 214-п, 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</w:rPr>
        <w:t xml:space="preserve">приказыва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В типовом договоре на поставку товаров: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Поставщиком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Поставщиком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Типовом договоре на выполнение работ: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Подрядчиком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Подрядчиком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Типовом договоре на оказание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пункт 7.5 Вариант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«7.5. За каждый факт неисполнения или ненадлежащего исполнения Исполнителем обязательств, предусмотренных 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 процента цены Договора (этапа), но не более 5 тысяч рублей и не менее 1 тысячи рублей.»;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пункт 7.7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«7.7. За каждый факт неисполнения или ненадлежащего исполнения Исполнителем обязательств, за исключени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просрочки исполнения обязательств (в том числе гарантийного обязательства), предусмотренных Договором, заключенным с победителем закупки, предложившим наиболее высокую цену за право заключения Договора, размер штрафа устанавливается в следующем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случае, если цена Договора не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начальной (максимальной)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начальной (максимальной)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начальной (максимальной) цены Договора, если цена Договора составляет от 50 млн. рублей до 100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 в случае, если цена Договора превышает начальную (максимальную) цену Договора: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 процентов цены Договора, если цена Договора не превышает 3 млн.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 процентов цены Договора, если цена Договора составляет от 3 млн. рублей до 50 млн. рублей (включительно);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 процент цены Договора, если цена Договора составляет от 50 млн. рублей до 100 млн. рублей (включительно).»;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В пункте 7.8 слова «начисленной неустойки (штрафов, пени)» заменить словом «штрафов».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В методических рекомендациях по составлению проекта договора на поставку товаров: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раздел 1 «Предмет договора» после слов «Пункт 1.3.»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contextualSpacing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оставляемый товар должен быть новым товаром (тов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аром,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который не был в употреблении, не прошел ремонт, в том числе восстановление, замену составных частей, восстановление потребительских свойств, отражающим все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следние модификации конструкций и материалов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u w:val="none"/>
        </w:rPr>
        <w:t xml:space="preserve">) в случае, если иное не предусмотрено описанием предмета закупки.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Областным исполнительным органам государственной власти Новосибирской области, осуществляющим функции и полномочия учредителя бюдж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етных учреждений, автономных учреждений Новосибирской области, полномочия собственника имущества унитарных предприятий Новосибирской области, довести настоящий приказ до сведения государственных бюджетных учреждений, государственных автономных учреждений,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унитарных предприятий Новосибирской области, осуществляющих свою деятельность в соответствии с частью 2 статьи 1 Федерального закона от 18.07.2011 № 223-ФЗ «О закупках товаров, работ, услуг отдельными видами юридических лиц» соответственно.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contextualSpacing w:val="0"/>
        <w:ind w:left="0" w:right="0" w:firstLine="0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ab/>
        <w:t xml:space="preserve">        С.Л. Шарпф</w:t>
      </w:r>
      <w:r/>
    </w:p>
    <w:p>
      <w:pPr>
        <w:pStyle w:val="952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2"/>
        <w:contextualSpacing/>
        <w:jc w:val="left"/>
        <w:spacing w:before="0" w:after="0"/>
      </w:pPr>
      <w:r>
        <w:rPr>
          <w:rFonts w:ascii="Times New Roman" w:hAnsi="Times New Roman" w:cs="Times New Roman"/>
          <w:sz w:val="20"/>
        </w:rPr>
        <w:t xml:space="preserve">Л.А. Большакова</w:t>
      </w:r>
      <w:r/>
    </w:p>
    <w:p>
      <w:pPr>
        <w:pStyle w:val="952"/>
        <w:contextualSpacing/>
        <w:jc w:val="left"/>
        <w:spacing w:before="0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2386449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  <w:rPr>
        <w:rFonts w:ascii="Times New Roman" w:hAnsi="Times New Roman" w:cs="Times New Roman"/>
        <w:sz w:val="28"/>
        <w:szCs w:val="28"/>
        <w:highlight w:val="none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55"/>
      <w:jc w:val="center"/>
      <w:rPr>
        <w:sz w:val="6"/>
        <w:szCs w:val="6"/>
      </w:rPr>
    </w:pPr>
    <w:r>
      <w:rPr>
        <w:rFonts w:ascii="Times New Roman" w:hAnsi="Times New Roman" w:cs="Times New Roman"/>
        <w:sz w:val="6"/>
        <w:szCs w:val="6"/>
        <w:highlight w:val="none"/>
      </w:rPr>
    </w:r>
    <w:r>
      <w:rPr>
        <w:sz w:val="6"/>
        <w:szCs w:val="6"/>
      </w:rPr>
    </w:r>
    <w:r>
      <w:rPr>
        <w:sz w:val="6"/>
        <w:szCs w:val="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spacing w:line="334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7"/>
    <w:next w:val="867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7"/>
    <w:next w:val="86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7"/>
    <w:next w:val="867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7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7"/>
    <w:next w:val="867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7"/>
    <w:next w:val="867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7"/>
    <w:next w:val="867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7"/>
    <w:next w:val="867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7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7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7"/>
    <w:next w:val="867"/>
    <w:uiPriority w:val="99"/>
    <w:unhideWhenUsed/>
    <w:pPr>
      <w:spacing w:after="0" w:afterAutospacing="0"/>
    </w:pPr>
  </w:style>
  <w:style w:type="table" w:styleId="8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 w:default="1">
    <w:name w:val="Normal"/>
    <w:next w:val="867"/>
    <w:pPr>
      <w:spacing w:before="0" w:after="160" w:line="25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68">
    <w:name w:val="WW8Num1z0"/>
    <w:next w:val="868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69">
    <w:name w:val="WW8Num1z2"/>
    <w:next w:val="869"/>
  </w:style>
  <w:style w:type="character" w:styleId="870">
    <w:name w:val="WW8Num1z3"/>
    <w:next w:val="870"/>
    <w:link w:val="867"/>
  </w:style>
  <w:style w:type="character" w:styleId="871">
    <w:name w:val="WW8Num1z4"/>
    <w:next w:val="871"/>
    <w:link w:val="867"/>
  </w:style>
  <w:style w:type="character" w:styleId="872">
    <w:name w:val="WW8Num1z5"/>
    <w:next w:val="872"/>
    <w:link w:val="867"/>
  </w:style>
  <w:style w:type="character" w:styleId="873">
    <w:name w:val="WW8Num1z6"/>
    <w:next w:val="873"/>
    <w:link w:val="867"/>
  </w:style>
  <w:style w:type="character" w:styleId="874">
    <w:name w:val="WW8Num1z7"/>
    <w:next w:val="874"/>
    <w:link w:val="867"/>
  </w:style>
  <w:style w:type="character" w:styleId="875">
    <w:name w:val="WW8Num1z8"/>
    <w:next w:val="875"/>
    <w:link w:val="867"/>
  </w:style>
  <w:style w:type="character" w:styleId="876">
    <w:name w:val="WW8Num2z0"/>
    <w:next w:val="876"/>
    <w:link w:val="867"/>
  </w:style>
  <w:style w:type="character" w:styleId="877">
    <w:name w:val="WW8Num2z1"/>
    <w:next w:val="877"/>
    <w:link w:val="867"/>
  </w:style>
  <w:style w:type="character" w:styleId="878">
    <w:name w:val="WW8Num2z2"/>
    <w:next w:val="878"/>
    <w:link w:val="867"/>
  </w:style>
  <w:style w:type="character" w:styleId="879">
    <w:name w:val="WW8Num2z3"/>
    <w:next w:val="879"/>
    <w:link w:val="867"/>
  </w:style>
  <w:style w:type="character" w:styleId="880">
    <w:name w:val="WW8Num2z4"/>
    <w:next w:val="880"/>
    <w:link w:val="867"/>
  </w:style>
  <w:style w:type="character" w:styleId="881">
    <w:name w:val="WW8Num2z5"/>
    <w:next w:val="881"/>
    <w:link w:val="867"/>
  </w:style>
  <w:style w:type="character" w:styleId="882">
    <w:name w:val="WW8Num2z6"/>
    <w:next w:val="882"/>
    <w:link w:val="867"/>
  </w:style>
  <w:style w:type="character" w:styleId="883">
    <w:name w:val="WW8Num2z7"/>
    <w:next w:val="883"/>
    <w:link w:val="867"/>
  </w:style>
  <w:style w:type="character" w:styleId="884">
    <w:name w:val="WW8Num2z8"/>
    <w:next w:val="884"/>
    <w:link w:val="867"/>
  </w:style>
  <w:style w:type="character" w:styleId="885">
    <w:name w:val="WW8Num3z0"/>
    <w:next w:val="885"/>
    <w:link w:val="867"/>
  </w:style>
  <w:style w:type="character" w:styleId="886">
    <w:name w:val="WW8Num3z1"/>
    <w:next w:val="886"/>
    <w:link w:val="867"/>
  </w:style>
  <w:style w:type="character" w:styleId="887">
    <w:name w:val="WW8Num3z2"/>
    <w:next w:val="887"/>
    <w:link w:val="867"/>
  </w:style>
  <w:style w:type="character" w:styleId="888">
    <w:name w:val="WW8Num3z3"/>
    <w:next w:val="888"/>
    <w:link w:val="867"/>
  </w:style>
  <w:style w:type="character" w:styleId="889">
    <w:name w:val="WW8Num3z4"/>
    <w:next w:val="889"/>
    <w:link w:val="867"/>
  </w:style>
  <w:style w:type="character" w:styleId="890">
    <w:name w:val="WW8Num3z5"/>
    <w:next w:val="890"/>
    <w:link w:val="867"/>
  </w:style>
  <w:style w:type="character" w:styleId="891">
    <w:name w:val="WW8Num3z6"/>
    <w:next w:val="891"/>
    <w:link w:val="867"/>
  </w:style>
  <w:style w:type="character" w:styleId="892">
    <w:name w:val="WW8Num3z7"/>
    <w:next w:val="892"/>
    <w:link w:val="867"/>
  </w:style>
  <w:style w:type="character" w:styleId="893">
    <w:name w:val="WW8Num3z8"/>
    <w:next w:val="893"/>
    <w:link w:val="867"/>
  </w:style>
  <w:style w:type="character" w:styleId="894">
    <w:name w:val="WW8Num4z0"/>
    <w:next w:val="894"/>
    <w:link w:val="867"/>
    <w:rPr>
      <w:b/>
    </w:rPr>
  </w:style>
  <w:style w:type="character" w:styleId="895">
    <w:name w:val="WW8Num4z1"/>
    <w:next w:val="895"/>
    <w:link w:val="867"/>
  </w:style>
  <w:style w:type="character" w:styleId="896">
    <w:name w:val="WW8Num4z2"/>
    <w:next w:val="896"/>
    <w:link w:val="867"/>
  </w:style>
  <w:style w:type="character" w:styleId="897">
    <w:name w:val="WW8Num4z3"/>
    <w:next w:val="897"/>
    <w:link w:val="867"/>
  </w:style>
  <w:style w:type="character" w:styleId="898">
    <w:name w:val="WW8Num4z4"/>
    <w:next w:val="898"/>
    <w:link w:val="867"/>
  </w:style>
  <w:style w:type="character" w:styleId="899">
    <w:name w:val="WW8Num4z5"/>
    <w:next w:val="899"/>
    <w:link w:val="867"/>
  </w:style>
  <w:style w:type="character" w:styleId="900">
    <w:name w:val="WW8Num4z6"/>
    <w:next w:val="900"/>
    <w:link w:val="867"/>
  </w:style>
  <w:style w:type="character" w:styleId="901">
    <w:name w:val="WW8Num4z7"/>
    <w:next w:val="901"/>
    <w:link w:val="867"/>
  </w:style>
  <w:style w:type="character" w:styleId="902">
    <w:name w:val="WW8Num4z8"/>
    <w:next w:val="902"/>
    <w:link w:val="867"/>
  </w:style>
  <w:style w:type="character" w:styleId="903">
    <w:name w:val="WW8Num5z0"/>
    <w:next w:val="903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04">
    <w:name w:val="WW8Num5z1"/>
    <w:next w:val="904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05">
    <w:name w:val="WW8Num5z3"/>
    <w:next w:val="905"/>
  </w:style>
  <w:style w:type="character" w:styleId="906">
    <w:name w:val="WW8Num5z4"/>
    <w:next w:val="906"/>
    <w:link w:val="867"/>
  </w:style>
  <w:style w:type="character" w:styleId="907">
    <w:name w:val="WW8Num5z5"/>
    <w:next w:val="907"/>
    <w:link w:val="867"/>
  </w:style>
  <w:style w:type="character" w:styleId="908">
    <w:name w:val="WW8Num5z6"/>
    <w:next w:val="908"/>
    <w:link w:val="867"/>
  </w:style>
  <w:style w:type="character" w:styleId="909">
    <w:name w:val="WW8Num5z7"/>
    <w:next w:val="909"/>
    <w:link w:val="867"/>
  </w:style>
  <w:style w:type="character" w:styleId="910">
    <w:name w:val="WW8Num5z8"/>
    <w:next w:val="910"/>
    <w:link w:val="867"/>
  </w:style>
  <w:style w:type="character" w:styleId="911">
    <w:name w:val="WW8Num6z0"/>
    <w:next w:val="91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2">
    <w:name w:val="WW8Num6z1"/>
    <w:next w:val="912"/>
  </w:style>
  <w:style w:type="character" w:styleId="913">
    <w:name w:val="WW8Num6z2"/>
    <w:next w:val="913"/>
    <w:link w:val="867"/>
  </w:style>
  <w:style w:type="character" w:styleId="914">
    <w:name w:val="WW8Num6z3"/>
    <w:next w:val="914"/>
    <w:link w:val="867"/>
  </w:style>
  <w:style w:type="character" w:styleId="915">
    <w:name w:val="WW8Num6z4"/>
    <w:next w:val="915"/>
    <w:link w:val="867"/>
  </w:style>
  <w:style w:type="character" w:styleId="916">
    <w:name w:val="WW8Num6z5"/>
    <w:next w:val="916"/>
    <w:link w:val="867"/>
  </w:style>
  <w:style w:type="character" w:styleId="917">
    <w:name w:val="WW8Num6z6"/>
    <w:next w:val="917"/>
    <w:link w:val="867"/>
  </w:style>
  <w:style w:type="character" w:styleId="918">
    <w:name w:val="WW8Num6z7"/>
    <w:next w:val="918"/>
    <w:link w:val="867"/>
  </w:style>
  <w:style w:type="character" w:styleId="919">
    <w:name w:val="WW8Num6z8"/>
    <w:next w:val="919"/>
    <w:link w:val="867"/>
  </w:style>
  <w:style w:type="character" w:styleId="920">
    <w:name w:val="WW8Num7z0"/>
    <w:next w:val="920"/>
    <w:link w:val="867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21">
    <w:name w:val="WW8Num7z1"/>
    <w:next w:val="92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22">
    <w:name w:val="WW8Num7z3"/>
    <w:next w:val="922"/>
  </w:style>
  <w:style w:type="character" w:styleId="923">
    <w:name w:val="WW8Num7z4"/>
    <w:next w:val="923"/>
    <w:link w:val="867"/>
  </w:style>
  <w:style w:type="character" w:styleId="924">
    <w:name w:val="WW8Num7z5"/>
    <w:next w:val="924"/>
    <w:link w:val="867"/>
  </w:style>
  <w:style w:type="character" w:styleId="925">
    <w:name w:val="WW8Num7z6"/>
    <w:next w:val="925"/>
    <w:link w:val="867"/>
  </w:style>
  <w:style w:type="character" w:styleId="926">
    <w:name w:val="WW8Num7z7"/>
    <w:next w:val="926"/>
    <w:link w:val="867"/>
  </w:style>
  <w:style w:type="character" w:styleId="927">
    <w:name w:val="WW8Num7z8"/>
    <w:next w:val="927"/>
    <w:link w:val="867"/>
  </w:style>
  <w:style w:type="character" w:styleId="928">
    <w:name w:val="WW8Num8z0"/>
    <w:next w:val="928"/>
    <w:link w:val="867"/>
  </w:style>
  <w:style w:type="character" w:styleId="929">
    <w:name w:val="WW8Num8z1"/>
    <w:next w:val="929"/>
    <w:link w:val="867"/>
  </w:style>
  <w:style w:type="character" w:styleId="930">
    <w:name w:val="WW8Num8z2"/>
    <w:next w:val="930"/>
    <w:link w:val="867"/>
  </w:style>
  <w:style w:type="character" w:styleId="931">
    <w:name w:val="WW8Num8z3"/>
    <w:next w:val="931"/>
    <w:link w:val="867"/>
  </w:style>
  <w:style w:type="character" w:styleId="932">
    <w:name w:val="WW8Num8z4"/>
    <w:next w:val="932"/>
    <w:link w:val="867"/>
  </w:style>
  <w:style w:type="character" w:styleId="933">
    <w:name w:val="WW8Num8z5"/>
    <w:next w:val="933"/>
    <w:link w:val="867"/>
  </w:style>
  <w:style w:type="character" w:styleId="934">
    <w:name w:val="WW8Num8z6"/>
    <w:next w:val="934"/>
    <w:link w:val="867"/>
  </w:style>
  <w:style w:type="character" w:styleId="935">
    <w:name w:val="WW8Num8z7"/>
    <w:next w:val="935"/>
    <w:link w:val="867"/>
  </w:style>
  <w:style w:type="character" w:styleId="936">
    <w:name w:val="WW8Num8z8"/>
    <w:next w:val="936"/>
    <w:link w:val="867"/>
  </w:style>
  <w:style w:type="character" w:styleId="937">
    <w:name w:val="Основной шрифт абзаца"/>
    <w:next w:val="937"/>
    <w:link w:val="867"/>
  </w:style>
  <w:style w:type="character" w:styleId="938">
    <w:name w:val="Верхний колонтитул Знак"/>
    <w:next w:val="938"/>
    <w:link w:val="867"/>
    <w:rPr>
      <w:rFonts w:ascii="Calibri" w:hAnsi="Calibri" w:eastAsia="Calibri" w:cs="Times New Roman"/>
    </w:rPr>
  </w:style>
  <w:style w:type="character" w:styleId="939">
    <w:name w:val="Нижний колонтитул Знак"/>
    <w:next w:val="939"/>
    <w:link w:val="867"/>
    <w:rPr>
      <w:rFonts w:ascii="Calibri" w:hAnsi="Calibri" w:eastAsia="Calibri" w:cs="Times New Roman"/>
    </w:rPr>
  </w:style>
  <w:style w:type="character" w:styleId="940">
    <w:name w:val="Текст выноски Знак"/>
    <w:next w:val="940"/>
    <w:link w:val="867"/>
    <w:rPr>
      <w:rFonts w:ascii="Segoe UI" w:hAnsi="Segoe UI" w:eastAsia="Calibri" w:cs="Segoe UI"/>
      <w:sz w:val="18"/>
      <w:szCs w:val="18"/>
    </w:rPr>
  </w:style>
  <w:style w:type="character" w:styleId="941">
    <w:name w:val="Основной текст + 16;5 pt;Интервал 0 pt"/>
    <w:next w:val="941"/>
    <w:link w:val="86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42">
    <w:name w:val="Основной текст_"/>
    <w:next w:val="942"/>
    <w:link w:val="867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43">
    <w:name w:val="Интернет-ссылка"/>
    <w:next w:val="943"/>
    <w:link w:val="867"/>
    <w:rPr>
      <w:color w:val="0000ff"/>
      <w:u w:val="single"/>
    </w:rPr>
  </w:style>
  <w:style w:type="character" w:styleId="944">
    <w:name w:val="Знак примечания"/>
    <w:next w:val="944"/>
    <w:link w:val="867"/>
    <w:rPr>
      <w:sz w:val="16"/>
      <w:szCs w:val="16"/>
    </w:rPr>
  </w:style>
  <w:style w:type="character" w:styleId="945">
    <w:name w:val="Текст примечания Знак"/>
    <w:next w:val="945"/>
    <w:link w:val="867"/>
  </w:style>
  <w:style w:type="character" w:styleId="946">
    <w:name w:val="Тема примечания Знак"/>
    <w:next w:val="946"/>
    <w:link w:val="867"/>
    <w:rPr>
      <w:b/>
      <w:bCs/>
    </w:rPr>
  </w:style>
  <w:style w:type="paragraph" w:styleId="947">
    <w:name w:val="Заголовок"/>
    <w:basedOn w:val="867"/>
    <w:next w:val="948"/>
    <w:link w:val="867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948">
    <w:name w:val="Основной текст"/>
    <w:basedOn w:val="867"/>
    <w:next w:val="948"/>
    <w:link w:val="867"/>
    <w:pPr>
      <w:spacing w:before="0" w:after="140" w:line="276" w:lineRule="auto"/>
    </w:pPr>
  </w:style>
  <w:style w:type="paragraph" w:styleId="949">
    <w:name w:val="Список"/>
    <w:basedOn w:val="948"/>
    <w:next w:val="949"/>
    <w:link w:val="867"/>
    <w:rPr>
      <w:rFonts w:cs="Droid Sans Devanagari"/>
    </w:rPr>
  </w:style>
  <w:style w:type="paragraph" w:styleId="950">
    <w:name w:val="Название"/>
    <w:basedOn w:val="867"/>
    <w:next w:val="950"/>
    <w:link w:val="86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51">
    <w:name w:val="Указатель"/>
    <w:basedOn w:val="867"/>
    <w:next w:val="951"/>
    <w:link w:val="867"/>
    <w:pPr>
      <w:suppressLineNumbers/>
    </w:pPr>
    <w:rPr>
      <w:rFonts w:cs="Droid Sans Devanagari"/>
    </w:rPr>
  </w:style>
  <w:style w:type="paragraph" w:styleId="952">
    <w:name w:val="ConsPlusNormal"/>
    <w:next w:val="952"/>
    <w:link w:val="867"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953">
    <w:name w:val="ConsPlusTitle"/>
    <w:next w:val="953"/>
    <w:link w:val="867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954">
    <w:name w:val="Верхний и нижний колонтитулы"/>
    <w:basedOn w:val="867"/>
    <w:next w:val="954"/>
    <w:link w:val="867"/>
    <w:pPr>
      <w:tabs>
        <w:tab w:val="center" w:pos="4819" w:leader="none"/>
        <w:tab w:val="right" w:pos="9638" w:leader="none"/>
      </w:tabs>
      <w:suppressLineNumbers/>
    </w:pPr>
  </w:style>
  <w:style w:type="paragraph" w:styleId="955">
    <w:name w:val="Верхний колонтитул"/>
    <w:basedOn w:val="867"/>
    <w:next w:val="955"/>
    <w:link w:val="867"/>
    <w:pPr>
      <w:spacing w:before="0" w:after="0" w:line="240" w:lineRule="auto"/>
    </w:pPr>
    <w:rPr>
      <w:sz w:val="20"/>
      <w:szCs w:val="20"/>
      <w:lang w:val="en-US"/>
    </w:rPr>
  </w:style>
  <w:style w:type="paragraph" w:styleId="956">
    <w:name w:val="Нижний колонтитул"/>
    <w:basedOn w:val="867"/>
    <w:next w:val="956"/>
    <w:link w:val="867"/>
    <w:pPr>
      <w:spacing w:before="0" w:after="0" w:line="240" w:lineRule="auto"/>
    </w:pPr>
    <w:rPr>
      <w:sz w:val="20"/>
      <w:szCs w:val="20"/>
      <w:lang w:val="en-US"/>
    </w:rPr>
  </w:style>
  <w:style w:type="paragraph" w:styleId="957">
    <w:name w:val="Абзац списка"/>
    <w:basedOn w:val="867"/>
    <w:next w:val="957"/>
    <w:link w:val="867"/>
    <w:pPr>
      <w:contextualSpacing/>
      <w:ind w:left="720" w:right="0" w:firstLine="0"/>
      <w:spacing w:before="0" w:after="160"/>
    </w:pPr>
  </w:style>
  <w:style w:type="paragraph" w:styleId="958">
    <w:name w:val="Текст выноски"/>
    <w:basedOn w:val="867"/>
    <w:next w:val="958"/>
    <w:link w:val="867"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59">
    <w:name w:val="Основной текст1"/>
    <w:basedOn w:val="867"/>
    <w:next w:val="959"/>
    <w:link w:val="867"/>
    <w:pPr>
      <w:ind w:left="0" w:right="0" w:hanging="1940"/>
      <w:spacing w:before="0" w:after="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11"/>
      <w:sz w:val="34"/>
      <w:szCs w:val="34"/>
      <w:lang w:val="en-US"/>
    </w:rPr>
  </w:style>
  <w:style w:type="paragraph" w:styleId="960">
    <w:name w:val="Текст примечания"/>
    <w:basedOn w:val="867"/>
    <w:next w:val="960"/>
    <w:rPr>
      <w:sz w:val="20"/>
      <w:szCs w:val="20"/>
      <w:lang w:val="en-US"/>
    </w:rPr>
  </w:style>
  <w:style w:type="paragraph" w:styleId="961">
    <w:name w:val="Тема примечания"/>
    <w:basedOn w:val="960"/>
    <w:next w:val="960"/>
    <w:link w:val="867"/>
    <w:rPr>
      <w:b/>
      <w:bCs/>
    </w:rPr>
  </w:style>
  <w:style w:type="character" w:styleId="962" w:default="1">
    <w:name w:val="Default Paragraph Font"/>
    <w:uiPriority w:val="1"/>
    <w:semiHidden/>
    <w:unhideWhenUsed/>
  </w:style>
  <w:style w:type="numbering" w:styleId="9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115</cp:revision>
  <dcterms:created xsi:type="dcterms:W3CDTF">2022-10-21T07:37:00Z</dcterms:created>
  <dcterms:modified xsi:type="dcterms:W3CDTF">2023-10-27T09:30:31Z</dcterms:modified>
</cp:coreProperties>
</file>