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942"/>
        <w:tblW w:w="10173" w:type="dxa"/>
        <w:tblInd w:w="0" w:type="dxa"/>
        <w:tblCellMar>
          <w:left w:w="0" w:type="dxa"/>
          <w:top w:w="0" w:type="dxa"/>
          <w:right w:w="0" w:type="dxa"/>
          <w:bottom w:w="0" w:type="dxa"/>
        </w:tblCellMar>
        <w:tblLook w:val="0400" w:firstRow="0" w:lastRow="0" w:firstColumn="0" w:lastColumn="0" w:noHBand="0" w:noVBand="1"/>
      </w:tblPr>
      <w:tblGrid>
        <w:gridCol w:w="5636"/>
        <w:gridCol w:w="4536"/>
      </w:tblGrid>
      <w:tr>
        <w:trPr/>
        <w:tc>
          <w:tcPr>
            <w:tcW w:w="5636" w:type="dxa"/>
            <w:textDirection w:val="lrTb"/>
            <w:noWrap w:val="false"/>
          </w:tcPr>
          <w:p>
            <w:pPr>
              <w:pStyle w:val="793"/>
              <w:ind w:firstLine="709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793"/>
              <w:ind w:firstLine="28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ПРИЛОЖЕНИЕ 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93"/>
              <w:ind w:firstLine="28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к постановлению Правительства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  <w:p>
            <w:pPr>
              <w:pStyle w:val="793"/>
              <w:ind w:firstLine="28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</w:tbl>
    <w:p>
      <w:pPr>
        <w:pStyle w:val="781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3"/>
        <w:jc w:val="center"/>
        <w:spacing w:before="0" w:after="0" w:afterAutospacing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bookmarkStart w:id="0" w:name="Par31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</w:p>
    <w:p>
      <w:pPr>
        <w:pStyle w:val="783"/>
        <w:jc w:val="center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t xml:space="preserve">взаимодействия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t xml:space="preserve">областных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t xml:space="preserve">исполнительных органов Новосибирской области</w:t>
      </w:r>
      <w:r>
        <w:rPr>
          <w:rFonts w:ascii="Times New Roman" w:hAnsi="Times New Roman" w:eastAsia="Times New Roman" w:cs="Times New Roman"/>
          <w:bCs/>
          <w:strike w:val="0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t xml:space="preserve">иных органов, организаций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Новосибирской области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муниципальных образований Новосибирской области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t xml:space="preserve">при принятии решения о проведении закупки, по результатам которой осуществляются заключение и исполнение контракта со встречными инвестиционными обязательствами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3"/>
        <w:jc w:val="center"/>
        <w:spacing w:before="0" w:after="0" w:afterAutospacing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t xml:space="preserve">I. Общие положения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1. Порядок взаимодействия областных исполнительных органов Новосибирской области</w:t>
      </w:r>
      <w:r>
        <w:rPr>
          <w:rFonts w:ascii="Times New Roman" w:hAnsi="Times New Roman" w:eastAsia="Times New Roman" w:cs="Times New Roman"/>
          <w:bCs/>
          <w:strike w:val="0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t xml:space="preserve">иных органов, организаций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Новосибирской области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муниципа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льных образований Новосибирской области при принятии решения о проведении закупки, по результатам которой осуществляются заключение и исполнение контракта со встречными инвестиционными обязательствами (далее – Порядок), определяет процедуру взаимодействия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областных исполнительных органов Новосибирской области (далее – ОИО НСО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bCs/>
          <w:strike w:val="0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t xml:space="preserve">иных органов, организаций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Новосибирской области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 (или)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ниципальных образований Новосибирской области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при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подготовке проекта распоряжения Правительства Новосибирской области, на основании которого осуществляется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проведение электронного конкурса, по результатам которого заключается контракт на поставку товара и (или) оказание услуги, предусматривающий встречные инвестиционные обязательства поставщ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ика (исполнителя) по созданию, модернизации, освоению производства товара и (или) созданию, реконструкции используемого для оказания услуги имущества (недвижимого имущества или недвижимого имущества и движимого имущества, технологически связанных между соб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ой) на территории Новосибирской области (далее соответственно –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Проект распоряжения,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Электронный конкурс,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Офсетный контракт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нвестиционные обязательства)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и при исполнении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такого Офсетного 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онтракта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 Инициатором процесса подготовки Проекта распоряжения (далее – Инициатор) могут выступать: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ОИО НСО, который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планирует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осуществление Электронного конкурса (в том числе с привлечением в качестве заказчика органа местного самоуправления Но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восибирской области, муниципального заказчика, в целях заключения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Офсетного контракта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для нужд соответствующего муниципального образования и за счет средств местного бюджета Новосибирской области);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2.2. ОИО НСО,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подведомственно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сти которого находятся государственные учреждения Новосибирской области, государственные унитарные предприятий 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осуществляющие закупки в соответствии с частями 1 и 2.1 статьи 15 Федера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льного закона от 05.04.2013 № 44-ФЗ «О контрактной системе в сфере закупок товаров, работ, услуг для обеспечения государственных и муниципальных нужд» (далее – Федеральный закон № 44-ФЗ), планирующие осуществление Электронного конкурса;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2.3. ОИО НСО, которого Губернатор Новосибирской области определит в качестве Инициатора на основании поступившего ему предложения о заключения Офсетного контракта от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рган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местного самоуправления Новосибирской области, планирующ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осуще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ствление Электронного конкурса, либо на территории муниципального образования которого находятся муниципальные учреждения Новосибирской области, муниципальные унитарные предприятий Новосибирской области, осуществляющие закупки в соответствии с частями 1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2.1 статьи 15 Федера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льного закона № 44-ФЗ, планирующие осуществление Электронного конкурса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3. Понятия, используемые в Порядке, применяются в значениях, определенных Федеральным законом № 44-ФЗ.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3"/>
        <w:jc w:val="center"/>
        <w:spacing w:before="0" w:after="0" w:afterAutospacing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t xml:space="preserve">II. Порядок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t xml:space="preserve">подготовки Проекта распоряжения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</w:r>
    </w:p>
    <w:p>
      <w:pPr>
        <w:pStyle w:val="781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4. Инициатор осуществляет подготовку предложения о заключении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Офсетного контракта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(далее - Предложение), в котором указываются: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1) заказчик Новосибирской области;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2) наименование товара, производство которого подлежит созданию, модернизации, освоению, и (или) наименование услуги, оказываемой с использованием имущества, которое подлежит созданию, реконструкции,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требования (при необходимости) к характеристикам таких товара и (или) услуги;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3) условия, установленные пунктами 3-10 части 2 статьи 111.4 Федерального закона № 44-ФЗ;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4) финансово-экономическое обоснование Предложения, содержащее в том числе следующую информацию: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расчет ежегодной потребности в товаре, производство кот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орого подлежит созданию, модернизации, освоению, и (или) услуге, оказываемой с использованием имущества (недвижимого имущества или недвижимого имущества и движимого имущества, технологически связанных между собой), которое подлежит созданию, реконструкции;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предложение по порядку определения начальной цены единицы товара, производство которого подлежит созданию, модернизации, освоен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ию, и (или) услуге, оказываемой с использованием имущества (недвижимого имущества или недвижимого имущества и движимого имущества, технологически связанных между собой), которое подлежит созданию, реконструкции (начальной суммы цен единицы товара, услуги);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расчет начальной цены единицы товара производство которого подлежит созданию, модернизации, освоени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ю, и (или) услуге, оказываемой с использованием имущества (недвижимого имущества или недвижимого имущества и движимого имущества, технологически связанных между собой), которое подлежит созданию, реконструкции (начальной суммы цен единицы товара, услуги);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предложение по порядку определения цены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Офсетного контракта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, сформулированное с учетом рекомендаций согласно приложению № 2 к настоящему постановлению;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расчет максимального значения цены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Офсетного контракта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;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информацию об эффект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ивности создания, модернизации, освоения производства товара и (или) создания, реконструкции имущества (недвижимого имущества или недвижимого имущества и движимого имущества, технологически связанных между собой), предназначенного для оказания услуги, на 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ерритории Новосибирской области, в том числе описание положительных социально-экономических последствий, ожидаемых результатов с точки зрения достижения целей и мероприятий, предусмотренных Стратегий социально-экономического развития Новосибирской области;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5) основные условия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Офсетного контракта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, предлагаемого к заключению Инициатором;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6) иная информация, установленная внутренними распорядительными актами ОИО НСО, указанных в пункте 5 Порядка.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К Предложени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ю прилагается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Проект распоряжения,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оформленный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соответств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ии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требованиям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, установленным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частью 2 статьи 111.4 Федерального закона № 44-ФЗ.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5. Инициатор направляет Предложение, Проект распоряжения посредством государственной информационной системы «Система электронного документооборота и делопроизводства Правительства Новосибирской области»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 следующи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органы, организации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(или)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муниципальных образований Новосибирской области: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министерство экономического развития Новосибирской области,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министерство финансов и налоговой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политики Новосибирской области,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контрольное управление Новосибирской области,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исполнительный орган Новосибирской области, осуществляющий полномочия в сфере производства товара, оказания услуги, которые планируются к закупке, производство которых подлежит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созданию, модернизации, освоению, и (или) услуги, оказываемой с использованием имущества, которое подлежит созданию, реконструкции,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(или) министерство промышленности, торговли и развития предпринимательства Новосибирской области,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иные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органы, организации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(или)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муниципальных образований Новосибирской области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указанные в Предложении Инициатором.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strike w:val="0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6. 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 результатам рассмотрения Предложения, Проекта распоряжения ОИО НСО,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органы, организации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(или)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муниципальных образований 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указ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анные в пункте 5 Порядка, не позднее десяти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рабочих дней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принимают решение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 наличии или отсутствии оснований для заключения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Офсетного контракта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согласно указанных в Предложении условий,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 также о согласовании или несогласовании Проекта распоряжения.</w:t>
      </w:r>
      <w:r>
        <w:rPr>
          <w:rFonts w:ascii="Times New Roman" w:hAnsi="Times New Roman" w:cs="Times New Roman"/>
          <w:strike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strike w:val="0"/>
          <w:color w:val="000000" w:themeColor="text1"/>
          <w:sz w:val="28"/>
          <w:szCs w:val="28"/>
          <w:highlight w:val="none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Порядок принятия решения в отношении поступившего Предложения, Проекта распоряжения ОИО НСО, указанные в пункте 5 Порядка, определяют внутренними распорядительными актами.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При принятии решения ОИО НСО, ин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ые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органы, организации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(или)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муниципальных образований Новосибирской области,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указанные в пункте 5 Порядка,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рассматривают документы, указанные в пункте 4 Порядка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на предмет соответствия требованиям, установленным в пункте 4 Порядка, положениям статьи 111.4 Федерального закона № 44-ФЗ,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 том числе в отношении следующего: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1) министерством экономического развития Новосибирской области – на предмет обоснованности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en-US"/>
        </w:rPr>
        <w:t xml:space="preserve">расчетов финансово-экономического обоснования предложения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, в том числе с учетом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en-US"/>
        </w:rPr>
        <w:t xml:space="preserve">прогнозного расчета индексов цен будущих периодов, а также на предмет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обоснованности ожидаемых результатов создания, модернизации, освоения производства товара и (или) создания, реконструкции имущества (недвижимого имущества или недвижимого имущества и движимого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имущества, технологически связанных между собой), предназначенного для оказания услуги, на территории Новосибирской области, с точки зрения достижения целей и мероприятий, предусмотренных Стратегией социально-экономического развития Новосибирской области;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2) министерством финансов и налоговой политики Новосибирской области – на предмет возможности принятия Новосибирской областью расходных обязательств, </w:t>
      </w:r>
      <w:bookmarkStart w:id="1" w:name="_GoBack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bookmarkEnd w:id="1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соответствия предельного объема бюджетных ассигнований, предусматриваемых на оплату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Офсетного контракта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 текущем финансовом году и плановом периоде, бюджетным ассигнованиям, предусмотренным на исполнение соответствующего расходного обязательства законом об областном бюджете Новосибирской области; в случае, если в Предложении Инициатор планирует заку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пку, по итогом которой заключается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</w:rPr>
        <w:t xml:space="preserve">Офсетный контракт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на срок, превышающий срок действия утвержденных лимитов бюджетных обязательств, также на предмет непревышения годового предельного объема средств, предусмотренных на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оплату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Офсетного контракта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за пределами планового периода, над общим максимальным годовым объемом бюджетных ассигнований по главному распорядителю бюджетных средств, предусмотренных на оплату контрактов со встречными инвестиционными обязательствами, в пределах планового периода;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3) контрольным управлением Новосибирской области – на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редмет соответствия Предложения, Проекта распоряжения требованиям законодательства, иным нормативным правовым актам о контрактной системе в сфере закупок товаров, работ, услуг для обеспечения государственных и муниципальных нужд;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4) ОИО НСО, осуществляющим полномочия в сфере производства товара, оказания услуги, которые планируются к закупке, производство которых подлежит созданию, модернизации, освоению, и (или)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услуги, оказываемой с использованием имущества, которое подлежит созданию, реконструкции, и (или) министерством промышленности, торговли и развития предпринимательства Новосибирской области – на предмет обоснованности эффективности создания, модернизации,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освоения производства товара и (или) создания, реконструкции имущества (недвижимого имущества или недвижимого имущества и движимого имущества, технологически связанных между собой), предназначенного для оказания услуги, на территории Новосибирской области;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5) иным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 органами, организациями Новосибирской области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 (или)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муниципальных образований Новосибирской области, указанными в Предложении Инициатором, – по вопросам, входящих в их компетенцию, имеющих значение при формулировании условий Предложения, Проекта распоряжения.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0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7. При несогласов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ании, в случае наличия замечаний или предложений, в целях проработки вопросов, возникших при рассмотрении Предложения, Инициатором в течение семи рабочих дней со дня поступления информации по результатам рассмотрения Предложения образуется рабочая группа.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0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 состав рабочей группы включаются предс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тавители Инициатора,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ОИО НСО,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иных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органов, организаций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(или)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муниципальных образований Новосибирской области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указанных в пункте 5 Порядка (по согласованию).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80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Инициатор направляет членам рабочей группы аналитическую сп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равку по результатам согласования Предложения, Проекта распоряжения с приложением поступившей по результатам рассмотрения Предложения информации, после чего организует заседание рабочей группы, по результатам которого принимается одно из следующих решений: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1) о наличии оснований для заключения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Офсетного контракта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согласно указанных в Предложении условий, и о согласовании Проекта распоряжения;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2) о необходимости доработки Предложения и (или) Проекта распоряжения, с указанием срока на доработку указанных документов;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3) об отсутствии оснований для заключения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Офсетного контракта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с указанием обоснования принятого решения.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Заседание рабочей группы оформляется протоколом.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По результатам принятого решения о необходимости доработки Предложения и (иди) Проекта распоряжения Инициатор в сроки, установлен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ные протоколом, дорабатывает указанные документы, после чего повторно направляет их на рассмотрение в ОИО НСО, иные органы, организации Новосибирской области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и(или)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муниципальных образований Новосибирской области, в порядке, предусмотренном пунктами 5, 6 Порядка.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0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8. После согласования Проект распоряжения представляется в Правительство Новосибирской области для принятия в установленном порядке.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783"/>
        <w:ind w:left="709" w:firstLine="0"/>
        <w:spacing w:before="0" w:after="0" w:afterAutospacing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r>
    </w:p>
    <w:p>
      <w:pPr>
        <w:pStyle w:val="783"/>
        <w:jc w:val="center"/>
        <w:spacing w:before="0" w:after="0" w:afterAutospacing="0" w:line="240" w:lineRule="auto"/>
        <w:rPr>
          <w:rFonts w:ascii="Times New Roman" w:hAnsi="Times New Roman" w:cs="Times New Roman"/>
          <w:bCs/>
          <w:strike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t xml:space="preserve">III. Заключительные положения,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t xml:space="preserve">исполнение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t xml:space="preserve">Офсетного контракта </w:t>
      </w:r>
      <w:r>
        <w:rPr>
          <w:rFonts w:ascii="Times New Roman" w:hAnsi="Times New Roman" w:cs="Times New Roman"/>
          <w:bCs/>
          <w:strike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Cs/>
          <w:strike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9. Не позднее пятнадцати рабочих дней со дня принятия распоряжения Правительства Новосибирской области о проведении Электронного конкурса заказчик подготавливает извещение о проведении Электронного конкурса.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10. 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Проведение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Электронн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конкурс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, заключение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 исполнение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Офсетного контракта,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включение его в реестр контрактов, предусмотренный статьей 103 Федерального закона № 44-ФЗ, осуществляются в соответствии с положениями Федерального закона № 44-ФЗ, с учетом особенностей, установленных статьей 111.4 Федерального закона № 44-ФЗ.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11. Контроль за реализацией и исполнением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Офсетного контракта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осуществляется заказчиком. 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Для приемки </w:t>
      </w: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нвестиционных обязательств заказчик формирует комиссию, порядок формирования и регламент работы которой определен Положением о комиссии по приемке исполнения поставщиком (исполнителем) встречных инвестиционных обязательств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14:ligatures w14:val="none"/>
        </w:rPr>
        <w:t xml:space="preserve">, утвержденного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приложением №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 5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к настоящему постановлению.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pStyle w:val="781"/>
        <w:ind w:firstLine="720"/>
        <w:jc w:val="both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pStyle w:val="781"/>
        <w:ind w:firstLine="0"/>
        <w:jc w:val="center"/>
        <w:spacing w:before="0"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sectPr>
      <w:headerReference w:type="default" r:id="rId8"/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134" w:right="567" w:bottom="1134" w:left="1417" w:header="737" w:footer="607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Sans">
    <w:panose1 w:val="020B0604020202020204"/>
  </w:font>
  <w:font w:name="Tahoma">
    <w:panose1 w:val="020B0604030504040204"/>
  </w:font>
  <w:font w:name="Droid Sans Devanagari">
    <w:panose1 w:val="020B0606030804020204"/>
  </w:font>
  <w:font w:name="CourierNew">
    <w:panose1 w:val="02070309020205020404"/>
  </w:font>
  <w:font w:name="Liberation Sans">
    <w:panose1 w:val="020B0604020202020204"/>
  </w:font>
  <w:font w:name="Arial">
    <w:panose1 w:val="020B0604020202020204"/>
  </w:font>
  <w:font w:name="Calibri">
    <w:panose1 w:val="020F0502020204030204"/>
  </w:font>
  <w:font w:name="Segoe UI">
    <w:panose1 w:val="020B0502040204020203"/>
  </w:font>
  <w:font w:name="LiberationSerif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1"/>
      <w:rPr>
        <w:sz w:val="2"/>
      </w:rPr>
    </w:pPr>
    <w:r>
      <w:rPr>
        <w:sz w:val="2"/>
      </w:rPr>
    </w:r>
    <w:r>
      <w:rPr>
        <w:sz w:val="2"/>
      </w:rPr>
    </w:r>
    <w:r>
      <w:rPr>
        <w:sz w:val="2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2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Cs w:val="24"/>
      </w:rPr>
      <w:fldChar w:fldCharType="begin"/>
    </w:r>
    <w:r>
      <w:rPr>
        <w:rFonts w:ascii="Times New Roman" w:hAnsi="Times New Roman" w:eastAsia="Times New Roman" w:cs="Times New Roman"/>
        <w:szCs w:val="24"/>
      </w:rPr>
      <w:instrText xml:space="preserve"> PAGE </w:instrText>
    </w:r>
    <w:r>
      <w:rPr>
        <w:rFonts w:ascii="Times New Roman" w:hAnsi="Times New Roman" w:eastAsia="Times New Roman" w:cs="Times New Roman"/>
        <w:sz w:val="28"/>
        <w:szCs w:val="28"/>
      </w:rPr>
      <w:fldChar w:fldCharType="separate"/>
    </w:r>
    <w:r>
      <w:rPr>
        <w:rFonts w:ascii="Times New Roman" w:hAnsi="Times New Roman" w:eastAsia="Times New Roman" w:cs="Times New Roman"/>
        <w:sz w:val="28"/>
        <w:szCs w:val="28"/>
      </w:rPr>
      <w:t xml:space="preserve">6</w:t>
    </w:r>
    <w:r>
      <w:rPr>
        <w:rFonts w:ascii="Times New Roman" w:hAnsi="Times New Roman" w:eastAsia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493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Serif" w:hAnsi="LiberationSerif" w:eastAsia="LiberationSerif" w:cs="LiberationSerif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2">
    <w:name w:val="Hyperlink"/>
    <w:uiPriority w:val="99"/>
    <w:unhideWhenUsed/>
    <w:rPr>
      <w:color w:val="0000ff" w:themeColor="hyperlink"/>
      <w:u w:val="single"/>
    </w:rPr>
  </w:style>
  <w:style w:type="character" w:styleId="703">
    <w:name w:val="footnote reference"/>
    <w:basedOn w:val="720"/>
    <w:uiPriority w:val="99"/>
    <w:unhideWhenUsed/>
    <w:rPr>
      <w:vertAlign w:val="superscript"/>
    </w:rPr>
  </w:style>
  <w:style w:type="character" w:styleId="704">
    <w:name w:val="endnote reference"/>
    <w:basedOn w:val="720"/>
    <w:uiPriority w:val="99"/>
    <w:semiHidden/>
    <w:unhideWhenUsed/>
    <w:rPr>
      <w:vertAlign w:val="superscript"/>
    </w:rPr>
  </w:style>
  <w:style w:type="paragraph" w:styleId="705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cs="Calibri"/>
      <w:color w:val="000000"/>
      <w:sz w:val="22"/>
      <w:szCs w:val="20"/>
      <w:lang w:val="ru-RU" w:eastAsia="zh-CN" w:bidi="ar-SA"/>
    </w:rPr>
  </w:style>
  <w:style w:type="paragraph" w:styleId="706">
    <w:name w:val="Heading 1"/>
    <w:basedOn w:val="705"/>
    <w:next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7">
    <w:name w:val="Heading 2"/>
    <w:basedOn w:val="705"/>
    <w:next w:val="7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8">
    <w:name w:val="Heading 3"/>
    <w:basedOn w:val="705"/>
    <w:next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9">
    <w:name w:val="Heading 4"/>
    <w:basedOn w:val="705"/>
    <w:next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705"/>
    <w:next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1">
    <w:name w:val="Heading 6"/>
    <w:basedOn w:val="705"/>
    <w:next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705"/>
    <w:next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3">
    <w:name w:val="Heading 8"/>
    <w:basedOn w:val="705"/>
    <w:next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705"/>
    <w:next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>
    <w:name w:val="Интернет-ссылка"/>
    <w:unhideWhenUsed/>
    <w:rPr>
      <w:rFonts w:ascii="LiberationSerif" w:hAnsi="LiberationSerif" w:eastAsia="LiberationSerif" w:cs="LiberationSerif"/>
      <w:color w:val="0000ff"/>
      <w:sz w:val="24"/>
      <w:u w:val="single"/>
    </w:rPr>
  </w:style>
  <w:style w:type="character" w:styleId="716">
    <w:name w:val="Привязка сноски"/>
    <w:rPr>
      <w:rFonts w:ascii="LiberationSerif" w:hAnsi="LiberationSerif" w:eastAsia="LiberationSerif" w:cs="LiberationSerif"/>
      <w:sz w:val="24"/>
      <w:vertAlign w:val="superscript"/>
    </w:rPr>
  </w:style>
  <w:style w:type="character" w:styleId="717">
    <w:name w:val="Footnote Characters"/>
    <w:basedOn w:val="720"/>
    <w:unhideWhenUsed/>
    <w:qFormat/>
    <w:rPr>
      <w:rFonts w:ascii="LiberationSerif" w:hAnsi="LiberationSerif" w:eastAsia="LiberationSerif" w:cs="LiberationSerif"/>
      <w:sz w:val="24"/>
      <w:vertAlign w:val="superscript"/>
    </w:rPr>
  </w:style>
  <w:style w:type="character" w:styleId="718">
    <w:name w:val="Привязка концевой сноски"/>
    <w:rPr>
      <w:rFonts w:ascii="LiberationSerif" w:hAnsi="LiberationSerif" w:eastAsia="LiberationSerif" w:cs="LiberationSerif"/>
      <w:sz w:val="24"/>
      <w:vertAlign w:val="superscript"/>
    </w:rPr>
  </w:style>
  <w:style w:type="character" w:styleId="719">
    <w:name w:val="Endnote Characters"/>
    <w:basedOn w:val="720"/>
    <w:semiHidden/>
    <w:unhideWhenUsed/>
    <w:qFormat/>
    <w:rPr>
      <w:rFonts w:ascii="LiberationSerif" w:hAnsi="LiberationSerif" w:eastAsia="LiberationSerif" w:cs="LiberationSerif"/>
      <w:sz w:val="24"/>
      <w:vertAlign w:val="superscript"/>
    </w:rPr>
  </w:style>
  <w:style w:type="character" w:styleId="720" w:default="1">
    <w:name w:val="Default Paragraph Font"/>
    <w:uiPriority w:val="1"/>
    <w:semiHidden/>
    <w:unhideWhenUsed/>
    <w:qFormat/>
  </w:style>
  <w:style w:type="character" w:styleId="721" w:customStyle="1">
    <w:name w:val="Heading 1 Char"/>
    <w:basedOn w:val="720"/>
    <w:qFormat/>
    <w:rPr>
      <w:rFonts w:ascii="Arial" w:hAnsi="Arial" w:eastAsia="Arial" w:cs="Arial"/>
      <w:sz w:val="40"/>
    </w:rPr>
  </w:style>
  <w:style w:type="character" w:styleId="722" w:customStyle="1">
    <w:name w:val="Heading 2 Char"/>
    <w:basedOn w:val="720"/>
    <w:qFormat/>
    <w:rPr>
      <w:rFonts w:ascii="Arial" w:hAnsi="Arial" w:eastAsia="Arial" w:cs="Arial"/>
      <w:sz w:val="34"/>
    </w:rPr>
  </w:style>
  <w:style w:type="character" w:styleId="723" w:customStyle="1">
    <w:name w:val="Heading 3 Char"/>
    <w:basedOn w:val="720"/>
    <w:qFormat/>
    <w:rPr>
      <w:rFonts w:ascii="Arial" w:hAnsi="Arial" w:eastAsia="Arial" w:cs="Arial"/>
      <w:sz w:val="30"/>
    </w:rPr>
  </w:style>
  <w:style w:type="character" w:styleId="724" w:customStyle="1">
    <w:name w:val="Heading 4 Char"/>
    <w:basedOn w:val="720"/>
    <w:qFormat/>
    <w:rPr>
      <w:rFonts w:ascii="Arial" w:hAnsi="Arial" w:eastAsia="Arial" w:cs="Arial"/>
      <w:b/>
      <w:sz w:val="26"/>
    </w:rPr>
  </w:style>
  <w:style w:type="character" w:styleId="725" w:customStyle="1">
    <w:name w:val="Heading 5 Char"/>
    <w:basedOn w:val="720"/>
    <w:qFormat/>
    <w:rPr>
      <w:rFonts w:ascii="Arial" w:hAnsi="Arial" w:eastAsia="Arial" w:cs="Arial"/>
      <w:b/>
      <w:sz w:val="24"/>
    </w:rPr>
  </w:style>
  <w:style w:type="character" w:styleId="726" w:customStyle="1">
    <w:name w:val="Heading 6 Char"/>
    <w:basedOn w:val="720"/>
    <w:qFormat/>
    <w:rPr>
      <w:rFonts w:ascii="Arial" w:hAnsi="Arial" w:eastAsia="Arial" w:cs="Arial"/>
      <w:b/>
      <w:sz w:val="22"/>
    </w:rPr>
  </w:style>
  <w:style w:type="character" w:styleId="727" w:customStyle="1">
    <w:name w:val="Heading 7 Char"/>
    <w:basedOn w:val="720"/>
    <w:qFormat/>
    <w:rPr>
      <w:rFonts w:ascii="Arial" w:hAnsi="Arial" w:eastAsia="Arial" w:cs="Arial"/>
      <w:b/>
      <w:i/>
      <w:sz w:val="22"/>
    </w:rPr>
  </w:style>
  <w:style w:type="character" w:styleId="728" w:customStyle="1">
    <w:name w:val="Heading 8 Char"/>
    <w:basedOn w:val="720"/>
    <w:qFormat/>
    <w:rPr>
      <w:rFonts w:ascii="Arial" w:hAnsi="Arial" w:eastAsia="Arial" w:cs="Arial"/>
      <w:i/>
      <w:sz w:val="22"/>
    </w:rPr>
  </w:style>
  <w:style w:type="character" w:styleId="729" w:customStyle="1">
    <w:name w:val="Heading 9 Char"/>
    <w:basedOn w:val="720"/>
    <w:qFormat/>
    <w:rPr>
      <w:rFonts w:ascii="Arial" w:hAnsi="Arial" w:eastAsia="Arial" w:cs="Arial"/>
      <w:i/>
      <w:sz w:val="21"/>
    </w:rPr>
  </w:style>
  <w:style w:type="character" w:styleId="730" w:customStyle="1">
    <w:name w:val="Title Char"/>
    <w:basedOn w:val="720"/>
    <w:qFormat/>
    <w:rPr>
      <w:rFonts w:ascii="LiberationSerif" w:hAnsi="LiberationSerif" w:eastAsia="LiberationSerif" w:cs="LiberationSerif"/>
      <w:sz w:val="48"/>
    </w:rPr>
  </w:style>
  <w:style w:type="character" w:styleId="731" w:customStyle="1">
    <w:name w:val="Subtitle Char"/>
    <w:basedOn w:val="720"/>
    <w:qFormat/>
    <w:rPr>
      <w:rFonts w:ascii="LiberationSerif" w:hAnsi="LiberationSerif" w:eastAsia="LiberationSerif" w:cs="LiberationSerif"/>
      <w:sz w:val="24"/>
    </w:rPr>
  </w:style>
  <w:style w:type="character" w:styleId="732" w:customStyle="1">
    <w:name w:val="Quote Char"/>
    <w:qFormat/>
    <w:rPr>
      <w:rFonts w:ascii="LiberationSerif" w:hAnsi="LiberationSerif" w:eastAsia="LiberationSerif" w:cs="LiberationSerif"/>
      <w:i/>
      <w:sz w:val="24"/>
    </w:rPr>
  </w:style>
  <w:style w:type="character" w:styleId="733" w:customStyle="1">
    <w:name w:val="Intense Quote Char"/>
    <w:qFormat/>
    <w:rPr>
      <w:rFonts w:ascii="LiberationSerif" w:hAnsi="LiberationSerif" w:eastAsia="LiberationSerif" w:cs="LiberationSerif"/>
      <w:i/>
      <w:sz w:val="24"/>
    </w:rPr>
  </w:style>
  <w:style w:type="character" w:styleId="734" w:customStyle="1">
    <w:name w:val="Header Char"/>
    <w:basedOn w:val="720"/>
    <w:qFormat/>
    <w:rPr>
      <w:rFonts w:ascii="LiberationSerif" w:hAnsi="LiberationSerif" w:eastAsia="LiberationSerif" w:cs="LiberationSerif"/>
      <w:sz w:val="24"/>
    </w:rPr>
  </w:style>
  <w:style w:type="character" w:styleId="735" w:customStyle="1">
    <w:name w:val="Footer Char"/>
    <w:basedOn w:val="720"/>
    <w:qFormat/>
    <w:rPr>
      <w:rFonts w:ascii="LiberationSerif" w:hAnsi="LiberationSerif" w:eastAsia="LiberationSerif" w:cs="LiberationSerif"/>
      <w:sz w:val="24"/>
    </w:rPr>
  </w:style>
  <w:style w:type="character" w:styleId="736" w:customStyle="1">
    <w:name w:val="Caption Char"/>
    <w:qFormat/>
    <w:rPr>
      <w:rFonts w:ascii="LiberationSerif" w:hAnsi="LiberationSerif" w:eastAsia="LiberationSerif" w:cs="LiberationSerif"/>
      <w:sz w:val="24"/>
    </w:rPr>
  </w:style>
  <w:style w:type="character" w:styleId="737" w:customStyle="1">
    <w:name w:val="Footnote Text Char"/>
    <w:qFormat/>
    <w:rPr>
      <w:rFonts w:ascii="LiberationSerif" w:hAnsi="LiberationSerif" w:eastAsia="LiberationSerif" w:cs="LiberationSerif"/>
      <w:sz w:val="18"/>
    </w:rPr>
  </w:style>
  <w:style w:type="character" w:styleId="738" w:customStyle="1">
    <w:name w:val="Endnote Text Char"/>
    <w:qFormat/>
    <w:rPr>
      <w:rFonts w:ascii="LiberationSerif" w:hAnsi="LiberationSerif" w:eastAsia="LiberationSerif" w:cs="LiberationSerif"/>
      <w:sz w:val="20"/>
    </w:rPr>
  </w:style>
  <w:style w:type="character" w:styleId="739" w:customStyle="1">
    <w:name w:val="Верхний колонтитул Знак"/>
    <w:basedOn w:val="720"/>
    <w:qFormat/>
    <w:rPr>
      <w:rFonts w:ascii="LiberationSerif" w:hAnsi="LiberationSerif" w:eastAsia="LiberationSerif" w:cs="LiberationSerif"/>
      <w:sz w:val="24"/>
    </w:rPr>
  </w:style>
  <w:style w:type="character" w:styleId="740" w:customStyle="1">
    <w:name w:val="Нижний колонтитул Знак"/>
    <w:basedOn w:val="720"/>
    <w:qFormat/>
    <w:rPr>
      <w:rFonts w:ascii="LiberationSerif" w:hAnsi="LiberationSerif" w:eastAsia="LiberationSerif" w:cs="LiberationSerif"/>
      <w:sz w:val="24"/>
    </w:rPr>
  </w:style>
  <w:style w:type="character" w:styleId="741" w:customStyle="1">
    <w:name w:val="Текст выноски Знак"/>
    <w:basedOn w:val="720"/>
    <w:uiPriority w:val="99"/>
    <w:semiHidden/>
    <w:qFormat/>
    <w:rPr>
      <w:rFonts w:ascii="Segoe UI" w:hAnsi="Segoe UI" w:eastAsia="Calibri" w:cs="Segoe UI"/>
      <w:color w:val="000000"/>
      <w:sz w:val="18"/>
      <w:szCs w:val="18"/>
    </w:rPr>
  </w:style>
  <w:style w:type="paragraph" w:styleId="742">
    <w:name w:val="Заголовок"/>
    <w:basedOn w:val="705"/>
    <w:next w:val="743"/>
    <w:qFormat/>
    <w:pPr>
      <w:keepNext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743">
    <w:name w:val="Body Text"/>
    <w:basedOn w:val="705"/>
    <w:pPr>
      <w:spacing w:before="0" w:after="140"/>
    </w:pPr>
  </w:style>
  <w:style w:type="paragraph" w:styleId="744">
    <w:name w:val="List"/>
    <w:basedOn w:val="743"/>
  </w:style>
  <w:style w:type="paragraph" w:styleId="745">
    <w:name w:val="Caption"/>
    <w:basedOn w:val="705"/>
    <w:next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46">
    <w:name w:val="Указатель"/>
    <w:basedOn w:val="705"/>
    <w:qFormat/>
    <w:pPr>
      <w:suppressLineNumbers/>
    </w:pPr>
    <w:rPr>
      <w:rFonts w:cs="Droid Sans Devanagari"/>
    </w:rPr>
  </w:style>
  <w:style w:type="paragraph" w:styleId="747" w:customStyle="1">
    <w:name w:val="Заголовок 11"/>
    <w:basedOn w:val="705"/>
    <w:qFormat/>
    <w:pPr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paragraph" w:styleId="748" w:customStyle="1">
    <w:name w:val="Заголовок 21"/>
    <w:basedOn w:val="705"/>
    <w:unhideWhenUsed/>
    <w:qFormat/>
    <w:pPr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paragraph" w:styleId="749" w:customStyle="1">
    <w:name w:val="Заголовок 31"/>
    <w:basedOn w:val="705"/>
    <w:unhideWhenUsed/>
    <w:qFormat/>
    <w:pPr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paragraph" w:styleId="750" w:customStyle="1">
    <w:name w:val="Заголовок 41"/>
    <w:basedOn w:val="705"/>
    <w:unhideWhenUsed/>
    <w:qFormat/>
    <w:pPr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paragraph" w:styleId="751" w:customStyle="1">
    <w:name w:val="Заголовок 51"/>
    <w:basedOn w:val="705"/>
    <w:unhideWhenUsed/>
    <w:qFormat/>
    <w:pPr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paragraph" w:styleId="752" w:customStyle="1">
    <w:name w:val="Заголовок 61"/>
    <w:basedOn w:val="705"/>
    <w:unhideWhenUsed/>
    <w:qFormat/>
    <w:pPr>
      <w:keepLines/>
      <w:keepNext/>
      <w:spacing w:before="320" w:after="200" w:line="240" w:lineRule="auto"/>
      <w:outlineLvl w:val="5"/>
    </w:pPr>
    <w:rPr>
      <w:rFonts w:ascii="Arial" w:hAnsi="Arial" w:eastAsia="Arial" w:cs="Arial"/>
      <w:b/>
    </w:rPr>
  </w:style>
  <w:style w:type="paragraph" w:styleId="753" w:customStyle="1">
    <w:name w:val="Заголовок 71"/>
    <w:basedOn w:val="705"/>
    <w:unhideWhenUsed/>
    <w:qFormat/>
    <w:pPr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</w:rPr>
  </w:style>
  <w:style w:type="paragraph" w:styleId="754" w:customStyle="1">
    <w:name w:val="Заголовок 81"/>
    <w:basedOn w:val="705"/>
    <w:unhideWhenUsed/>
    <w:qFormat/>
    <w:pPr>
      <w:keepLines/>
      <w:keepNext/>
      <w:spacing w:before="320" w:after="200" w:line="240" w:lineRule="auto"/>
      <w:outlineLvl w:val="7"/>
    </w:pPr>
    <w:rPr>
      <w:rFonts w:ascii="Arial" w:hAnsi="Arial" w:eastAsia="Arial" w:cs="Arial"/>
      <w:i/>
    </w:rPr>
  </w:style>
  <w:style w:type="paragraph" w:styleId="755" w:customStyle="1">
    <w:name w:val="Заголовок 91"/>
    <w:basedOn w:val="705"/>
    <w:unhideWhenUsed/>
    <w:qFormat/>
    <w:pPr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paragraph" w:styleId="756">
    <w:name w:val="List Paragraph"/>
    <w:basedOn w:val="705"/>
    <w:qFormat/>
    <w:pPr>
      <w:contextualSpacing/>
      <w:ind w:left="720" w:firstLine="0"/>
      <w:spacing w:before="0" w:after="0" w:line="240" w:lineRule="auto"/>
    </w:pPr>
    <w:rPr>
      <w:rFonts w:ascii="LiberationSerif" w:hAnsi="LiberationSerif" w:eastAsia="LiberationSerif" w:cs="LiberationSerif"/>
      <w:sz w:val="24"/>
    </w:rPr>
  </w:style>
  <w:style w:type="paragraph" w:styleId="757">
    <w:name w:val="No Spacing"/>
    <w:qFormat/>
    <w:pPr>
      <w:jc w:val="left"/>
      <w:spacing w:before="0" w:after="0"/>
      <w:widowControl/>
    </w:pPr>
    <w:rPr>
      <w:rFonts w:ascii="LiberationSerif" w:hAnsi="LiberationSerif" w:eastAsia="LiberationSerif" w:cs="LiberationSerif"/>
      <w:color w:val="auto"/>
      <w:sz w:val="22"/>
      <w:szCs w:val="20"/>
      <w:lang w:val="ru-RU" w:eastAsia="zh-CN" w:bidi="ar-SA"/>
    </w:rPr>
  </w:style>
  <w:style w:type="paragraph" w:styleId="758">
    <w:name w:val="Title"/>
    <w:basedOn w:val="705"/>
    <w:qFormat/>
    <w:pPr>
      <w:spacing w:before="120" w:after="120"/>
    </w:pPr>
    <w:rPr>
      <w:i/>
      <w:sz w:val="24"/>
    </w:rPr>
  </w:style>
  <w:style w:type="paragraph" w:styleId="759">
    <w:name w:val="Subtitle"/>
    <w:basedOn w:val="705"/>
    <w:qFormat/>
    <w:pPr>
      <w:spacing w:before="200" w:after="200" w:line="240" w:lineRule="auto"/>
    </w:pPr>
    <w:rPr>
      <w:rFonts w:ascii="LiberationSerif" w:hAnsi="LiberationSerif" w:eastAsia="LiberationSerif" w:cs="LiberationSerif"/>
      <w:sz w:val="24"/>
    </w:rPr>
  </w:style>
  <w:style w:type="paragraph" w:styleId="760">
    <w:name w:val="Quote"/>
    <w:basedOn w:val="705"/>
    <w:qFormat/>
    <w:pPr>
      <w:ind w:left="720" w:firstLine="0"/>
      <w:spacing w:before="0" w:after="0" w:line="240" w:lineRule="auto"/>
    </w:pPr>
    <w:rPr>
      <w:rFonts w:ascii="LiberationSerif" w:hAnsi="LiberationSerif" w:eastAsia="LiberationSerif" w:cs="LiberationSerif"/>
      <w:i/>
      <w:sz w:val="24"/>
    </w:rPr>
  </w:style>
  <w:style w:type="paragraph" w:styleId="761">
    <w:name w:val="Intense Quote"/>
    <w:basedOn w:val="705"/>
    <w:qFormat/>
    <w:pPr>
      <w:ind w:left="720" w:firstLine="0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LiberationSerif" w:hAnsi="LiberationSerif" w:eastAsia="LiberationSerif" w:cs="LiberationSerif"/>
      <w:i/>
      <w:sz w:val="24"/>
    </w:rPr>
  </w:style>
  <w:style w:type="paragraph" w:styleId="762" w:customStyle="1">
    <w:name w:val="Верхний колонтитул1"/>
    <w:basedOn w:val="705"/>
    <w:unhideWhenUsed/>
    <w:qFormat/>
    <w:pPr>
      <w:spacing w:before="0" w:after="0" w:line="240" w:lineRule="auto"/>
      <w:tabs>
        <w:tab w:val="clear" w:pos="493" w:leader="none"/>
        <w:tab w:val="center" w:pos="7143" w:leader="none"/>
        <w:tab w:val="right" w:pos="14287" w:leader="none"/>
      </w:tabs>
    </w:pPr>
    <w:rPr>
      <w:rFonts w:ascii="LiberationSerif" w:hAnsi="LiberationSerif" w:eastAsia="LiberationSerif" w:cs="LiberationSerif"/>
      <w:sz w:val="24"/>
    </w:rPr>
  </w:style>
  <w:style w:type="paragraph" w:styleId="763" w:customStyle="1">
    <w:name w:val="Нижний колонтитул1"/>
    <w:basedOn w:val="705"/>
    <w:unhideWhenUsed/>
    <w:qFormat/>
    <w:pPr>
      <w:spacing w:before="0" w:after="0" w:line="240" w:lineRule="auto"/>
      <w:tabs>
        <w:tab w:val="clear" w:pos="493" w:leader="none"/>
        <w:tab w:val="center" w:pos="7143" w:leader="none"/>
        <w:tab w:val="right" w:pos="14287" w:leader="none"/>
      </w:tabs>
    </w:pPr>
    <w:rPr>
      <w:rFonts w:ascii="LiberationSerif" w:hAnsi="LiberationSerif" w:eastAsia="LiberationSerif" w:cs="LiberationSerif"/>
      <w:sz w:val="24"/>
    </w:rPr>
  </w:style>
  <w:style w:type="paragraph" w:styleId="764" w:customStyle="1">
    <w:name w:val="Название объекта1"/>
    <w:basedOn w:val="705"/>
    <w:semiHidden/>
    <w:unhideWhenUsed/>
    <w:qFormat/>
    <w:pPr>
      <w:spacing w:before="0" w:after="0"/>
    </w:pPr>
    <w:rPr>
      <w:rFonts w:ascii="LiberationSerif" w:hAnsi="LiberationSerif" w:eastAsia="LiberationSerif" w:cs="LiberationSerif"/>
      <w:b/>
      <w:color w:val="4f81bd"/>
      <w:sz w:val="18"/>
    </w:rPr>
  </w:style>
  <w:style w:type="paragraph" w:styleId="765">
    <w:name w:val="footnote text"/>
    <w:basedOn w:val="705"/>
    <w:semiHidden/>
    <w:unhideWhenUsed/>
    <w:pPr>
      <w:spacing w:before="0" w:after="40" w:line="240" w:lineRule="auto"/>
    </w:pPr>
    <w:rPr>
      <w:rFonts w:ascii="LiberationSerif" w:hAnsi="LiberationSerif" w:eastAsia="LiberationSerif" w:cs="LiberationSerif"/>
      <w:sz w:val="18"/>
    </w:rPr>
  </w:style>
  <w:style w:type="paragraph" w:styleId="766">
    <w:name w:val="endnote text"/>
    <w:basedOn w:val="705"/>
    <w:semiHidden/>
    <w:unhideWhenUsed/>
    <w:pPr>
      <w:spacing w:before="0" w:after="0" w:line="240" w:lineRule="auto"/>
    </w:pPr>
    <w:rPr>
      <w:rFonts w:ascii="LiberationSerif" w:hAnsi="LiberationSerif" w:eastAsia="LiberationSerif" w:cs="LiberationSerif"/>
      <w:sz w:val="20"/>
    </w:rPr>
  </w:style>
  <w:style w:type="paragraph" w:styleId="767">
    <w:name w:val="toc 1"/>
    <w:basedOn w:val="705"/>
    <w:unhideWhenUsed/>
    <w:pPr>
      <w:spacing w:before="0"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768">
    <w:name w:val="toc 2"/>
    <w:basedOn w:val="705"/>
    <w:unhideWhenUsed/>
    <w:pPr>
      <w:ind w:left="283" w:firstLine="0"/>
      <w:spacing w:before="0"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769">
    <w:name w:val="toc 3"/>
    <w:basedOn w:val="705"/>
    <w:unhideWhenUsed/>
    <w:pPr>
      <w:ind w:left="567" w:firstLine="0"/>
      <w:spacing w:before="0"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770">
    <w:name w:val="toc 4"/>
    <w:basedOn w:val="705"/>
    <w:unhideWhenUsed/>
    <w:pPr>
      <w:ind w:left="850" w:firstLine="0"/>
      <w:spacing w:before="0"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771">
    <w:name w:val="toc 5"/>
    <w:basedOn w:val="705"/>
    <w:unhideWhenUsed/>
    <w:pPr>
      <w:ind w:left="1134" w:firstLine="0"/>
      <w:spacing w:before="0"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772">
    <w:name w:val="toc 6"/>
    <w:basedOn w:val="705"/>
    <w:unhideWhenUsed/>
    <w:pPr>
      <w:ind w:left="1417" w:firstLine="0"/>
      <w:spacing w:before="0"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773">
    <w:name w:val="toc 7"/>
    <w:basedOn w:val="705"/>
    <w:unhideWhenUsed/>
    <w:pPr>
      <w:ind w:left="1701" w:firstLine="0"/>
      <w:spacing w:before="0"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774">
    <w:name w:val="toc 8"/>
    <w:basedOn w:val="705"/>
    <w:unhideWhenUsed/>
    <w:pPr>
      <w:ind w:left="1984" w:firstLine="0"/>
      <w:spacing w:before="0"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775">
    <w:name w:val="toc 9"/>
    <w:basedOn w:val="705"/>
    <w:unhideWhenUsed/>
    <w:pPr>
      <w:ind w:left="2268" w:firstLine="0"/>
      <w:spacing w:before="0"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776">
    <w:name w:val="TOC Heading"/>
    <w:unhideWhenUsed/>
    <w:qFormat/>
    <w:pPr>
      <w:jc w:val="left"/>
      <w:spacing w:before="0" w:after="0"/>
      <w:widowControl/>
    </w:pPr>
    <w:rPr>
      <w:rFonts w:ascii="LiberationSerif" w:hAnsi="LiberationSerif" w:eastAsia="LiberationSerif" w:cs="LiberationSerif"/>
      <w:color w:val="auto"/>
      <w:sz w:val="22"/>
      <w:szCs w:val="20"/>
      <w:lang w:val="ru-RU" w:eastAsia="zh-CN" w:bidi="ar-SA"/>
    </w:rPr>
  </w:style>
  <w:style w:type="paragraph" w:styleId="777">
    <w:name w:val="table of figures"/>
    <w:basedOn w:val="705"/>
    <w:unhideWhenUsed/>
    <w:qFormat/>
    <w:pPr>
      <w:spacing w:before="0" w:after="0" w:line="240" w:lineRule="auto"/>
    </w:pPr>
    <w:rPr>
      <w:rFonts w:ascii="LiberationSerif" w:hAnsi="LiberationSerif" w:eastAsia="LiberationSerif" w:cs="LiberationSerif"/>
      <w:sz w:val="24"/>
    </w:rPr>
  </w:style>
  <w:style w:type="paragraph" w:styleId="778" w:customStyle="1">
    <w:name w:val="Заголовок1"/>
    <w:basedOn w:val="705"/>
    <w:qFormat/>
    <w:pPr>
      <w:keepNext/>
      <w:spacing w:before="240" w:after="120"/>
    </w:pPr>
    <w:rPr>
      <w:rFonts w:ascii="LiberationSans" w:hAnsi="LiberationSans" w:eastAsia="LiberationSans" w:cs="LiberationSans"/>
      <w:sz w:val="28"/>
    </w:rPr>
  </w:style>
  <w:style w:type="paragraph" w:styleId="779">
    <w:name w:val="index heading"/>
    <w:basedOn w:val="705"/>
    <w:qFormat/>
  </w:style>
  <w:style w:type="paragraph" w:styleId="780" w:customStyle="1">
    <w:name w:val="Обычная таблица1"/>
    <w:qFormat/>
    <w:pPr>
      <w:jc w:val="left"/>
      <w:spacing w:before="0" w:after="200" w:line="276" w:lineRule="auto"/>
      <w:widowControl/>
    </w:pPr>
    <w:rPr>
      <w:rFonts w:ascii="Calibri" w:hAnsi="Calibri" w:eastAsia="Calibri" w:cs="Calibri"/>
      <w:color w:val="000000"/>
      <w:sz w:val="22"/>
      <w:szCs w:val="20"/>
      <w:lang w:val="ru-RU" w:eastAsia="zh-CN" w:bidi="ar-SA"/>
    </w:rPr>
  </w:style>
  <w:style w:type="paragraph" w:styleId="781" w:customStyle="1">
    <w:name w:val="ConsPlusNormal"/>
    <w:qFormat/>
    <w:pPr>
      <w:jc w:val="left"/>
      <w:spacing w:before="0" w:after="0"/>
      <w:widowControl/>
    </w:pPr>
    <w:rPr>
      <w:rFonts w:ascii="Arial" w:hAnsi="Arial" w:eastAsia="Arial" w:cs="Arial"/>
      <w:color w:val="000000"/>
      <w:sz w:val="20"/>
      <w:szCs w:val="20"/>
      <w:lang w:val="ru-RU" w:eastAsia="zh-CN" w:bidi="ar-SA"/>
    </w:rPr>
  </w:style>
  <w:style w:type="paragraph" w:styleId="782" w:customStyle="1">
    <w:name w:val="ConsPlusNonformat"/>
    <w:qFormat/>
    <w:pPr>
      <w:jc w:val="left"/>
      <w:spacing w:before="0" w:after="0"/>
      <w:widowControl/>
    </w:pPr>
    <w:rPr>
      <w:rFonts w:ascii="CourierNew" w:hAnsi="CourierNew" w:eastAsia="CourierNew" w:cs="CourierNew"/>
      <w:color w:val="000000"/>
      <w:sz w:val="20"/>
      <w:szCs w:val="20"/>
      <w:lang w:val="ru-RU" w:eastAsia="zh-CN" w:bidi="ar-SA"/>
    </w:rPr>
  </w:style>
  <w:style w:type="paragraph" w:styleId="783" w:customStyle="1">
    <w:name w:val="ConsPlusTitle"/>
    <w:qFormat/>
    <w:pPr>
      <w:jc w:val="left"/>
      <w:spacing w:before="0" w:after="0"/>
      <w:widowControl/>
    </w:pPr>
    <w:rPr>
      <w:rFonts w:ascii="Arial" w:hAnsi="Arial" w:eastAsia="Arial" w:cs="Arial"/>
      <w:b/>
      <w:color w:val="000000"/>
      <w:sz w:val="20"/>
      <w:szCs w:val="20"/>
      <w:lang w:val="ru-RU" w:eastAsia="zh-CN" w:bidi="ar-SA"/>
    </w:rPr>
  </w:style>
  <w:style w:type="paragraph" w:styleId="784" w:customStyle="1">
    <w:name w:val="ConsPlusCell"/>
    <w:qFormat/>
    <w:pPr>
      <w:jc w:val="left"/>
      <w:spacing w:before="0" w:after="0"/>
      <w:widowControl/>
    </w:pPr>
    <w:rPr>
      <w:rFonts w:ascii="CourierNew" w:hAnsi="CourierNew" w:eastAsia="CourierNew" w:cs="CourierNew"/>
      <w:color w:val="000000"/>
      <w:sz w:val="20"/>
      <w:szCs w:val="20"/>
      <w:lang w:val="ru-RU" w:eastAsia="zh-CN" w:bidi="ar-SA"/>
    </w:rPr>
  </w:style>
  <w:style w:type="paragraph" w:styleId="785" w:customStyle="1">
    <w:name w:val="ConsPlusDocList"/>
    <w:qFormat/>
    <w:pPr>
      <w:jc w:val="left"/>
      <w:spacing w:before="0" w:after="0"/>
      <w:widowControl/>
    </w:pPr>
    <w:rPr>
      <w:rFonts w:ascii="CourierNew" w:hAnsi="CourierNew" w:eastAsia="CourierNew" w:cs="CourierNew"/>
      <w:color w:val="000000"/>
      <w:sz w:val="20"/>
      <w:szCs w:val="20"/>
      <w:lang w:val="ru-RU" w:eastAsia="zh-CN" w:bidi="ar-SA"/>
    </w:rPr>
  </w:style>
  <w:style w:type="paragraph" w:styleId="786" w:customStyle="1">
    <w:name w:val="ConsPlusTitlePage"/>
    <w:qFormat/>
    <w:pPr>
      <w:jc w:val="left"/>
      <w:spacing w:before="0" w:after="0"/>
      <w:widowControl/>
    </w:pPr>
    <w:rPr>
      <w:rFonts w:ascii="Tahoma" w:hAnsi="Tahoma" w:eastAsia="Tahoma" w:cs="Tahoma"/>
      <w:color w:val="000000"/>
      <w:sz w:val="20"/>
      <w:szCs w:val="20"/>
      <w:lang w:val="ru-RU" w:eastAsia="zh-CN" w:bidi="ar-SA"/>
    </w:rPr>
  </w:style>
  <w:style w:type="paragraph" w:styleId="787" w:customStyle="1">
    <w:name w:val="ConsPlusJurTerm"/>
    <w:qFormat/>
    <w:pPr>
      <w:jc w:val="left"/>
      <w:spacing w:before="0" w:after="0"/>
      <w:widowControl/>
    </w:pPr>
    <w:rPr>
      <w:rFonts w:ascii="Arial" w:hAnsi="Arial" w:eastAsia="Arial" w:cs="Arial"/>
      <w:color w:val="000000"/>
      <w:sz w:val="26"/>
      <w:szCs w:val="20"/>
      <w:lang w:val="ru-RU" w:eastAsia="zh-CN" w:bidi="ar-SA"/>
    </w:rPr>
  </w:style>
  <w:style w:type="paragraph" w:styleId="788" w:customStyle="1">
    <w:name w:val="ConsPlusTextList"/>
    <w:qFormat/>
    <w:pPr>
      <w:jc w:val="left"/>
      <w:spacing w:before="0" w:after="0"/>
      <w:widowControl/>
    </w:pPr>
    <w:rPr>
      <w:rFonts w:ascii="Arial" w:hAnsi="Arial" w:eastAsia="Arial" w:cs="Arial"/>
      <w:color w:val="000000"/>
      <w:sz w:val="20"/>
      <w:szCs w:val="20"/>
      <w:lang w:val="ru-RU" w:eastAsia="zh-CN" w:bidi="ar-SA"/>
    </w:rPr>
  </w:style>
  <w:style w:type="paragraph" w:styleId="789" w:customStyle="1">
    <w:name w:val="ConsPlusTextList1"/>
    <w:qFormat/>
    <w:pPr>
      <w:jc w:val="left"/>
      <w:spacing w:before="0" w:after="0"/>
      <w:widowControl/>
    </w:pPr>
    <w:rPr>
      <w:rFonts w:ascii="Arial" w:hAnsi="Arial" w:eastAsia="Arial" w:cs="Arial"/>
      <w:color w:val="000000"/>
      <w:sz w:val="20"/>
      <w:szCs w:val="20"/>
      <w:lang w:val="ru-RU" w:eastAsia="zh-CN" w:bidi="ar-SA"/>
    </w:rPr>
  </w:style>
  <w:style w:type="paragraph" w:styleId="790" w:customStyle="1">
    <w:name w:val="Верхний и нижний колонтитулы"/>
    <w:basedOn w:val="705"/>
    <w:qFormat/>
  </w:style>
  <w:style w:type="paragraph" w:styleId="791">
    <w:name w:val="Header"/>
    <w:basedOn w:val="705"/>
    <w:pPr>
      <w:tabs>
        <w:tab w:val="clear" w:pos="493" w:leader="none"/>
        <w:tab w:val="center" w:pos="4677" w:leader="none"/>
        <w:tab w:val="right" w:pos="9355" w:leader="none"/>
      </w:tabs>
    </w:pPr>
  </w:style>
  <w:style w:type="paragraph" w:styleId="792">
    <w:name w:val="Footer"/>
    <w:basedOn w:val="705"/>
    <w:pPr>
      <w:tabs>
        <w:tab w:val="clear" w:pos="493" w:leader="none"/>
        <w:tab w:val="center" w:pos="4677" w:leader="none"/>
        <w:tab w:val="right" w:pos="9355" w:leader="none"/>
      </w:tabs>
    </w:pPr>
  </w:style>
  <w:style w:type="paragraph" w:styleId="793" w:customStyle="1">
    <w:name w:val="Обычный1"/>
    <w:qFormat/>
    <w:pPr>
      <w:jc w:val="left"/>
      <w:spacing w:before="0" w:after="160" w:line="259" w:lineRule="auto"/>
      <w:widowControl/>
    </w:pPr>
    <w:rPr>
      <w:rFonts w:ascii="Calibri" w:hAnsi="Calibri" w:eastAsia="Calibri" w:cs="Calibri"/>
      <w:color w:val="auto"/>
      <w:sz w:val="22"/>
      <w:szCs w:val="22"/>
      <w:lang w:val="ru-RU" w:eastAsia="ru-RU" w:bidi="ar-SA"/>
    </w:rPr>
  </w:style>
  <w:style w:type="paragraph" w:styleId="794">
    <w:name w:val="Balloon Text"/>
    <w:basedOn w:val="705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numbering" w:styleId="795" w:default="1">
    <w:name w:val="No List"/>
    <w:uiPriority w:val="99"/>
    <w:semiHidden/>
    <w:unhideWhenUsed/>
    <w:qFormat/>
  </w:style>
  <w:style w:type="table" w:styleId="796">
    <w:name w:val="Plain Table 1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97">
    <w:name w:val="Plain Table 2"/>
    <w:basedOn w:val="8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98">
    <w:name w:val="Plain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9">
    <w:name w:val="Plain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Plain Table 5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cPr>
        <w:shd w:val="clear" w:color="ffffff" w:fill="f2f2f2" w:themeFill="text1" w:themeFillTint="00"/>
      </w:tcPr>
    </w:tblStylePr>
    <w:tblStylePr w:type="band1Vert">
      <w:rPr>
        <w:color w:val="404040"/>
        <w:sz w:val="22"/>
      </w:rPr>
      <w:tcPr>
        <w:shd w:val="clear" w:color="ffffff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1">
    <w:name w:val="Grid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4"/>
    <w:basedOn w:val="8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5">
    <w:name w:val="Grid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cPr>
        <w:shd w:val="clear" w:color="ffffff" w:fill="000000" w:themeFill="text1"/>
        <w:tcBorders>
          <w:top w:val="single" w:color="000000" w:themeColor="light1" w:sz="4" w:space="0"/>
        </w:tcBorders>
      </w:tcPr>
    </w:tblStylePr>
  </w:style>
  <w:style w:type="table" w:styleId="806">
    <w:name w:val="Grid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807">
    <w:name w:val="Grid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f2f2f2" w:themeFill="text1" w:themeFillTint="00"/>
      </w:tcPr>
    </w:tblStylePr>
    <w:tblStylePr w:type="band1Vert">
      <w:tcPr>
        <w:shd w:val="clear" w:color="ffffff" w:fill="f2f2f2" w:themeFill="text1" w:themeFillTint="0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2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10">
    <w:name w:val="List Table 3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000000" w:themeColor="tex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13">
    <w:name w:val="List Table 6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14">
    <w:name w:val="List Table 7 Colorful"/>
    <w:basedOn w:val="8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6">
    <w:name w:val="Table Grid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7" w:customStyle="1">
    <w:name w:val="Table Grid Light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 w:customStyle="1">
    <w:name w:val="Таблица простая 1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 w:customStyle="1">
    <w:name w:val="Таблица простая 2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 w:customStyle="1">
    <w:name w:val="Таблица простая 31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Таблица простая 41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Таблица простая 51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Таблица-сетка 1 светлая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1 Light 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1 Light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1 Light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1 Light 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1 Light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1 Light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Таблица-сетка 21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Grid Table 2 - Accent 1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2 - Accent 2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2 - Accent 3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2 - Accent 4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Grid Table 2 - Accent 5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2 - Accent 6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Таблица-сетка 31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Grid Table 3 - Accent 1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3 - Accent 2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3 - Accent 3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Grid Table 3 - Accent 4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Grid Table 3 - Accent 5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3 - Accent 6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Таблица-сетка 4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Grid Table 4 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4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4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Grid Table 4 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Grid Table 4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4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Таблица-сетка 5 темная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Grid Table 5 Dark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5 Dark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5 Dark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Grid Table 5 Dark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Grid Table 5 Dark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5 Dark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Таблица-сетка 6 цветная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Grid Table 6 Colorful 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6 Colorful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6 Colorful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Grid Table 6 Colorful 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Grid Table 6 Colorful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6 Colorful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Таблица-сетка 7 цветная1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Grid Table 7 Colorful - Accent 1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7 Colorful - Accent 2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7 Colorful - Accent 3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Grid Table 7 Colorful - Accent 4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Grid Table 7 Colorful - Accent 5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7 Colorful - Accent 6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Список-таблица 1 светлая1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1 Light - Accent 1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1 Light - Accent 2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1 Light - Accent 3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1 Light - Accent 4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1 Light - Accent 5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1 Light - Accent 6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Список-таблица 21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st Table 2 - Accent 1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2 - Accent 2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2 - Accent 3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2 - Accent 4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st Table 2 - Accent 5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2 - Accent 6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Список-таблица 3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List Table 3 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3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3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st Table 3 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st Table 3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3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Список-таблица 4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List Table 4 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4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4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st Table 4 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List Table 4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4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Список-таблица 5 темная1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List Table 5 Dark - Accent 1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5 Dark - Accent 2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5 Dark - Accent 3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5 Dark - Accent 4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List Table 5 Dark - Accent 5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5 Dark - Accent 6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Список-таблица 6 цветная1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List Table 6 Colorful - Accent 1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6 Colorful - Accent 2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6 Colorful - Accent 3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List Table 6 Colorful - Accent 4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List Table 6 Colorful - Accent 5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6 Colorful - Accent 6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Список-таблица 7 цветная1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List Table 7 Colorful - Accent 1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7 Colorful - Accent 2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7 Colorful - Accent 3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st Table 7 Colorful - Accent 4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List Table 7 Colorful - Accent 5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7 Colorful - Accent 6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ned - Accent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ned - Accent 1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ned - Accent 2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ned - Accent 3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ned - Accent 4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ned - Accent 5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ned - Accent 6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Bordered &amp; Lined - Accent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Bordered &amp; Lined - Accent 1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Bordered &amp; Lined - Accent 2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Bordered &amp; Lined - Accent 3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Bordered &amp; Lined - Accent 4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Bordered &amp; Lined - Accent 5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Bordered &amp; Lined - Accent 6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Bordered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Bordered 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Bordered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Bordered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Bordered 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Bordered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Bordered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StGen0"/>
    <w:rPr>
      <w:sz w:val="22"/>
      <w:szCs w:val="22"/>
      <w:lang w:eastAsia="ru-RU"/>
    </w:rPr>
    <w:tblPr>
      <w:tblStyleRowBandSize w:val="1"/>
      <w:tblStyleColBandSize w:val="1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????????????? ????????????? ????????????? ??????? ?? 16.12.2019 N 476-?(???. ?? 10.03.2022)&amp;amp;quot;? ??????? ????????????? ?????????????? ???????? ?? ??????????? ???????????????? ?????????? ????????? ? ???? ??????????? ???????? ????? ? ??????????? ??????? ? ????</dc:title>
  <dc:subject/>
  <dc:creator>User</dc:creator>
  <dc:description/>
  <dc:language>ru-RU</dc:language>
  <cp:revision>25</cp:revision>
  <dcterms:created xsi:type="dcterms:W3CDTF">2024-02-08T03:34:00Z</dcterms:created>
  <dcterms:modified xsi:type="dcterms:W3CDTF">2024-06-27T09:50:22Z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4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