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957"/>
        <w:tblW w:w="10173" w:type="dxa"/>
        <w:tblInd w:w="0" w:type="dxa"/>
        <w:tblCellMar>
          <w:left w:w="0" w:type="dxa"/>
          <w:top w:w="0" w:type="dxa"/>
          <w:right w:w="0" w:type="dxa"/>
          <w:bottom w:w="0" w:type="dxa"/>
        </w:tblCellMar>
        <w:tblLook w:val="0400" w:firstRow="0" w:lastRow="0" w:firstColumn="0" w:lastColumn="0" w:noHBand="0" w:noVBand="1"/>
      </w:tblPr>
      <w:tblGrid>
        <w:gridCol w:w="5636"/>
        <w:gridCol w:w="4536"/>
      </w:tblGrid>
      <w:tr>
        <w:trPr/>
        <w:tc>
          <w:tcPr>
            <w:tcW w:w="5636" w:type="dxa"/>
            <w:textDirection w:val="lrTb"/>
            <w:noWrap w:val="false"/>
          </w:tcPr>
          <w:p>
            <w:pPr>
              <w:pStyle w:val="958"/>
              <w:ind w:firstLine="709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58"/>
              <w:ind w:firstLine="28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ПРИЛОЖЕНИЕ 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58"/>
              <w:ind w:firstLine="28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к постановлению Правительства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58"/>
              <w:ind w:firstLine="28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Соглашение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г. Новосибирск                                                    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  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_____» ______________ 20___г.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_______________________, именуем___ в дальнейшем «Заказчик», в лице ______________________,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действующ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___ на основании _____________________, с одной стороны,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_______________________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________, именуем____ в дальнейшем «Получатель», в лице _________________________,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действующ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____ на основании _____________________, с другой стороны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_______________________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именуем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__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дальнейшем «Главный администратор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средств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»,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лице _________________________,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действующ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___ на основании ___________________,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 третьей стороны,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вме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сте именуемые «Стороны» и каждая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отдельности «Сторона», в соответствии со статьей 420, ч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астью 2 статьи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423 Гражданского кодекса Российской Федерации, во исполнение распоряжения Правительства Новосибирской области от «___» _______ 20___г. № _____ (далее – Распоряжение) заключили настоящее Соглашение (далее – Соглашение) о нижеследующем: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5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1. Предмет Соглашения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pStyle w:val="94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1.1. Настоящее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Соглашение определяет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условия и порядок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взаимодействия Заказчика и Получателя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при совершении Заказчиком юридических и иных значимых действий,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направленных на осуществление в соответствии с Распоряжением, пол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ожениями статьи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111.4 Федерального закона № 44-ФЗ</w:t>
      </w:r>
      <w:r>
        <w:rPr>
          <w:rStyle w:val="934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footnoteReference w:id="2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электронного конкурса,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заключение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исполнение контракта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со встречными инвестиционными обязательствами (далее соответственно - электронный 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онкурс, офсетный контракт)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 имени Заказчика,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интересах Получателя,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 счет средств, полученных Получателем при оказании им медицинских услуг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рамках программы обязательного медицинско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 страхования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порядке, установленном Федеральным законом № 326-ФЗ</w:t>
      </w:r>
      <w:r>
        <w:rPr>
          <w:rStyle w:val="934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footnoteReference w:id="3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цел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ях поставки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Получателю товара, указанного в Приложении № 1 (далее - Товар), являющегося неотъемлемой частью Соглашения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том числе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условия и порядок взаимодействия при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обеспечении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осуществлени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расчетов между Заказчиком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Получателем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 Главным администратором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средств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целях исполнения офсетного контракта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в том числе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части поставки Товара Получателю.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1.2. 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Стороны выполняют условия Соглашения на безвозмездной основе.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2. Порядок взаимодействия Сторон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4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при осуществлении действий, входящих в предмет Соглашения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49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2.1.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Главный администратор средств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предусматривает в законе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Новосибирской области об областном бюджете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бюджетные ассигнования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на оплату офсетного контракта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доводит в установленном порядке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бюджетные ассигнования и ли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миты бюджетных обязательств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 Заказчи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ка,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согла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совывает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устан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овленном порядке показатели плана финансово-хозяйственной деятельности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Получателя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осуществляет 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нтроль поступлений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средств от Получателя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 лицевой счет г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лавного администратора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доходов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части их соответствия объему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принятого Товара.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2.2. Заказчик обязан, действуя в интересах Получателя, в соответствии с положениями Федерального закона № 44-Ф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З, осуществить юридические и иные значимые действия, направленные на осуществление согласно Распоряжения, статьи 111.4 Федерального закона № 44-ФЗ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электронного конкурса,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заключение и исполнение офсетного контракта, в том числе совершить все необходимые действия, обеспечивающие поставку Товара в определенном Соглашением объеме Получателю. С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рок и порядок поставки устанавливаются офсетным контрактом.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2.3. Наименование и </w:t>
      </w:r>
      <w:bookmarkStart w:id="47" w:name="_GoBack"/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bookmarkEnd w:id="47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требования к характеристикам Това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ра, минимальное количество Товара, потребность в поставке которого установлена Получателем на весь срок действия офсетного контракта с разбивкой по годам, расчет цены за единицу Товара, указаны в Приложении № 1, являющегося неотъемлемой частью Соглашения.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Указанный Товар должен быть непосредственно связан с оказанием медицинской помощи и потребляться в процессе оказания медицинской помощи по обязательному медицинскому страхованию.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Условия об объеме Товара, подлежащего поставке Получателю, о его цене за единицу подлежат корректировке в порядке и при условиях, установленных офсетным контрактом.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2.4. 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Получатель в порядке и при условиях, установленных Федеральным законом № 44-ФЗ, по решению Заказчика при приемке Товара проводит экспертизу поступивше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го ему Товара, включая осмотр и проверку Товара на соответствие условиям по количеству, качеству, другим характеристикам Товара согласно описанию и техническим требованиям, указанным в офсетном контракте. По результатам экспертизы составляется заключение.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результатам приемки Товара Получатель соста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вляет и подписывает с поставщиком по офсетному контракту акт приема-передачи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Товара по форме согласно Приложения № 2 к настоящему Соглашению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течение ________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календарных дней со дня подписания акта приема-передачи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Получатель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направляет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Заказчику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скан-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копии заключения по итогам экспертизы, подписанного акта приема-передачи посредством электронной почты на адрес: _____________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2.5. В течение ________ календарных дней со дня подписания акта приема-передачи, указанного в пункте 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Соглашения, Получатель перечисляет средства, полученные при оказании медицинских услуг в рамках программ обя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зательного медицинского страхования, за поставленный ему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Товар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на лицевой счет, предназначенный для отражения операций, связанных с администрированием доходов бюджетов бюджетной системы Российской Федерации (далее - «04» лицевой счет), открытый Заказчику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2.6. Заказчик осуществляет приемку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овара по 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фсетному контракту, сост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авляет и подписывает с поставщиком по офсетному контракту документ о приемке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овара в порядке, установленном требованиями Федерального закона № 44-ФЗ, на основании актов приема-передачи и после поступления средств за поставленный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овар на «04» лицевой счет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2.7. Заказч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ик осуществляет перечисление средств поставщику по офсетному контракту за поставленный Получателю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овар в срок, установленный частью 13.1 статьи 34 Федерального 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акона № 44-ФЗ, после подписания документа о приемке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овара, указанный в пункте 2.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6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Соглашения.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2.8. 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рамках осуществления возложенных на 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8"/>
          <w:szCs w:val="28"/>
          <w:highlight w:val="none"/>
          <w:u w:val="none"/>
        </w:rPr>
        <w:t xml:space="preserve">них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8"/>
          <w:szCs w:val="28"/>
          <w:highlight w:val="none"/>
          <w:u w:val="none"/>
        </w:rPr>
        <w:t xml:space="preserve"> Соглашением полномочий Заказчик 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8"/>
          <w:szCs w:val="28"/>
          <w:highlight w:val="none"/>
          <w:u w:val="none"/>
        </w:rPr>
        <w:t xml:space="preserve">и Получатель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8"/>
          <w:szCs w:val="28"/>
          <w:highlight w:val="none"/>
          <w:u w:val="none"/>
        </w:rPr>
        <w:t xml:space="preserve"> 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существля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8"/>
          <w:szCs w:val="28"/>
          <w:highlight w:val="none"/>
          <w:u w:val="none"/>
        </w:rPr>
        <w:t xml:space="preserve">ю</w:t>
      </w:r>
      <w:r>
        <w:rPr>
          <w:rFonts w:ascii="Times New Roman" w:hAnsi="Times New Roman" w:eastAsia="Times New Roman" w:cs="Times New Roman"/>
          <w:i w:val="0"/>
          <w:iCs w:val="0"/>
          <w:color w:val="000000" w:themeColor="text1"/>
          <w:sz w:val="28"/>
          <w:szCs w:val="28"/>
          <w:highlight w:val="none"/>
          <w:u w:val="none"/>
        </w:rPr>
        <w:t xml:space="preserve">т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постановку на учет бюджетных и денежных обязательств в порядке, установленном уполномоченным финансовым органом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2.9. Заказчик размещает информац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ию об исполнении офсетного контракта в реестре контрактов, заключенных заказчиками, в срок, установленный Федеральным законом № 44-ФЗ.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2.10. Заказчик осуществляет иные действия, установленные гражданским законодательством Российской Федерации и Федеральным законом № 44-ФЗ по исполнению офсетного контракта.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2.11. Заказчик осуществляет передачу Товара Получателю с соблюдением требований, установленных Законом Новосибирской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№ 271-ОЗ</w:t>
      </w:r>
      <w:r>
        <w:rPr>
          <w:rStyle w:val="934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footnoteReference w:id="4"/>
      </w:r>
      <w:r>
        <w:rPr>
          <w:rStyle w:val="934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vertAlign w:val="baseline"/>
        </w:rPr>
        <w:t xml:space="preserve">, на основании акта о приеме-передаче объектов нефинансовых </w:t>
      </w:r>
      <w:r>
        <w:rPr>
          <w:rStyle w:val="934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vertAlign w:val="baseline"/>
        </w:rPr>
        <w:t xml:space="preserve">активов</w:t>
      </w:r>
      <w:r>
        <w:rPr>
          <w:rStyle w:val="934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vertAlign w:val="baseline"/>
        </w:rPr>
        <w:t xml:space="preserve">, форма и сод</w:t>
      </w:r>
      <w:r>
        <w:rPr>
          <w:rStyle w:val="934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vertAlign w:val="baseline"/>
        </w:rPr>
        <w:t xml:space="preserve">ержание которого устанавливается Министерством финансов </w:t>
      </w:r>
      <w:r>
        <w:rPr>
          <w:rStyle w:val="934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vertAlign w:val="baseline"/>
        </w:rPr>
        <w:t xml:space="preserve">Российской Федерации.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2.12. 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________________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(в последний день каждого месяца/ежеквартально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Заказчиком и Получателем производится сверка движения средств обязательного медицинского страхования,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как безвозмездные целевые перечисления, направленные на оплату Заказчиком Товара,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объемов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поставленного Товара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в рамках Соглашения, по итогам которой составляется акт, по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дписываемый обеими сторонами. Акты сверок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хранятся у Сторон на протяжении всего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срока действия обязательств, возникающих в связи с исполнением Соглашения.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Получатель направляет Заказчику подписанный акт сверки посредством электронной почты на адрес: ______________.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  <w:t xml:space="preserve">3. Ответственность Сторон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3.1. За нарушение либо ненадлежащее исполнение обязательств по Соглашению Стороны несут ответственность, предусмотренную законодательством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3.2. За составление заведомо ложного заключения по результатам экспертизы, установленной пунктом 2.4 Соглашения Получатель несет ответственность, предусмотренную законодательством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3.3.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аказчик не несет ответственность за порядок и целевое использование Получателем средств обязательного медицинского страхования, правильность отражения в регистрах бухгалтерского учета операций по средствам обязательного медицинского страхования.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4. Срок действия Соглашения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4.1 Соглашение вступает в силу с момента его подписания и действует до полного исполнения Сторонами своих обязательств по настоящему Соглашению.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5. Порядок внесения изменений в Соглашение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pStyle w:val="94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5.1 Стороны им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еют право вносить изменения в настоящее Соглашение или прекращать его действие в порядке, предусмотренном законодательством Российской Федерации. Все изменения и дополнения к настоящему Соглашению оформляются дополнительным соглашением в письменной форме.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6. Заключительные положения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pStyle w:val="94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6.1. Все споры и разногласия, возникшие между Сторонами в связи с исполнением, изменением или расторжением Соглашения решаются путем переговоров.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6.2. В случае недостижения взаимного согласия все споры по Соглашению разрешаются в Арбитражном суде Новосибирской области.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6.3. Настоящее Соглашение составлено в трех экземплярах, имеющих равную юридическую силу. Экземпляры настоящего Соглашения находятся у Заказчика, Получателя,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Главного администратора средств.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94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  <w:outlineLvl w:val="0"/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  <w:t xml:space="preserve">7. Реквизиты Сторон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</w:p>
    <w:p>
      <w:pPr>
        <w:pStyle w:val="94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tbl>
      <w:tblPr>
        <w:tblW w:w="9985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000" w:firstRow="0" w:lastRow="0" w:firstColumn="0" w:lastColumn="0" w:noHBand="0" w:noVBand="0"/>
      </w:tblPr>
      <w:tblGrid>
        <w:gridCol w:w="5024"/>
        <w:gridCol w:w="4961"/>
      </w:tblGrid>
      <w:tr>
        <w:trPr/>
        <w:tc>
          <w:tcPr>
            <w:tcW w:w="5024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Заказчик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Получатель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W w:w="5024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W w:w="5024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Местонахождение: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Местонахождение: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W w:w="5024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Реквизиты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Реквизиты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W w:w="5024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Главный администратор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средств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 xml:space="preserve">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W w:w="5024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rPr/>
        <w:tc>
          <w:tcPr>
            <w:tcW w:w="5024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Местонахождение: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  <w:tr>
        <w:trPr>
          <w:trHeight w:val="813"/>
        </w:trPr>
        <w:tc>
          <w:tcPr>
            <w:tcW w:w="5024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Реквизиты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pStyle w:val="9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</w:rPr>
            </w:r>
          </w:p>
        </w:tc>
      </w:tr>
    </w:tbl>
    <w:p>
      <w:pPr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417" w:header="567" w:footer="493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Segoe UI">
    <w:panose1 w:val="020B0502040204020203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2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</w:r>
    <w:r>
      <w:rPr>
        <w:rFonts w:ascii="Times New Roman" w:hAnsi="Times New Roman" w:cs="Times New Roman"/>
        <w:sz w:val="16"/>
        <w:szCs w:val="16"/>
      </w:rPr>
    </w:r>
    <w:r>
      <w:rPr>
        <w:rFonts w:ascii="Times New Roman" w:hAnsi="Times New Roman" w:cs="Times New Roman"/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32"/>
        <w:jc w:val="both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Style w:val="934"/>
          <w:rFonts w:ascii="Times New Roman" w:hAnsi="Times New Roman" w:eastAsia="Times New Roman" w:cs="Times New Roman"/>
          <w:sz w:val="20"/>
          <w:szCs w:val="20"/>
        </w:rPr>
        <w:footnoteRef/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 Федеральный закон от 05.04.2013 № 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</w:footnote>
  <w:footnote w:id="3">
    <w:p>
      <w:pPr>
        <w:pStyle w:val="932"/>
        <w:jc w:val="both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Style w:val="934"/>
          <w:rFonts w:ascii="Times New Roman" w:hAnsi="Times New Roman" w:eastAsia="Times New Roman" w:cs="Times New Roman"/>
          <w:sz w:val="20"/>
          <w:szCs w:val="20"/>
        </w:rPr>
        <w:footnoteRef/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 Федеральный закон от 29.11.2010 № 326-ФЗ «Об обязательном медицинском страховании в Российской Федерации»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</w:footnote>
  <w:footnote w:id="4">
    <w:p>
      <w:pPr>
        <w:pStyle w:val="93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934"/>
          <w:rFonts w:ascii="Times New Roman" w:hAnsi="Times New Roman" w:eastAsia="Times New Roman" w:cs="Times New Roman"/>
          <w:sz w:val="20"/>
          <w:szCs w:val="20"/>
        </w:rPr>
        <w:footnoteRef/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Закон Новосибирской области от 06.07.2018 № 271–ОЗ «Об управлении и распоряжении государственной собственностью Новосибирской области»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0"/>
      <w:jc w:val="center"/>
      <w:rPr>
        <w:rFonts w:ascii="Times New Roman" w:hAnsi="Times New Roman" w:cs="Times New Roman"/>
        <w:sz w:val="24"/>
        <w:szCs w:val="24"/>
      </w:rPr>
    </w:pPr>
    <w:r>
      <w:fldChar w:fldCharType="begin"/>
    </w:r>
    <w:r>
      <w:instrText xml:space="preserve">PAGE \* MERGEFORMAT</w:instrText>
    </w:r>
    <w:r>
      <w:fldChar w:fldCharType="separate"/>
    </w:r>
    <w:r>
      <w:rPr>
        <w:rFonts w:ascii="Times New Roman" w:hAnsi="Times New Roman" w:eastAsia="Times New Roman" w:cs="Times New Roman"/>
        <w:sz w:val="24"/>
        <w:szCs w:val="24"/>
      </w:rPr>
      <w:t xml:space="preserve">2</w:t>
    </w:r>
    <w:r>
      <w:rPr>
        <w:rFonts w:ascii="Times New Roman" w:hAnsi="Times New Roman" w:eastAsia="Times New Roman" w:cs="Times New Roman"/>
        <w:sz w:val="24"/>
        <w:szCs w:val="24"/>
      </w:rPr>
      <w:fldChar w:fldCharType="end"/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2">
    <w:name w:val="Heading 1"/>
    <w:basedOn w:val="763"/>
    <w:next w:val="763"/>
    <w:link w:val="7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3">
    <w:name w:val="Heading 2"/>
    <w:basedOn w:val="763"/>
    <w:next w:val="763"/>
    <w:link w:val="7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4">
    <w:name w:val="Heading 3"/>
    <w:basedOn w:val="763"/>
    <w:next w:val="763"/>
    <w:link w:val="7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5">
    <w:name w:val="Heading 4"/>
    <w:basedOn w:val="763"/>
    <w:next w:val="763"/>
    <w:link w:val="7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6">
    <w:name w:val="Heading 5"/>
    <w:basedOn w:val="763"/>
    <w:next w:val="763"/>
    <w:link w:val="7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7">
    <w:name w:val="Heading 6"/>
    <w:basedOn w:val="763"/>
    <w:next w:val="763"/>
    <w:link w:val="7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8">
    <w:name w:val="Heading 7"/>
    <w:basedOn w:val="763"/>
    <w:next w:val="763"/>
    <w:link w:val="7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9">
    <w:name w:val="Heading 8"/>
    <w:basedOn w:val="763"/>
    <w:next w:val="763"/>
    <w:link w:val="7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0">
    <w:name w:val="Heading 9"/>
    <w:basedOn w:val="763"/>
    <w:next w:val="763"/>
    <w:link w:val="7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41">
    <w:name w:val="Header"/>
    <w:basedOn w:val="763"/>
    <w:link w:val="8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42">
    <w:name w:val="Footer"/>
    <w:basedOn w:val="763"/>
    <w:link w:val="8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43">
    <w:name w:val="Caption"/>
    <w:basedOn w:val="763"/>
    <w:next w:val="7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44">
    <w:name w:val="Plain Table 1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basedOn w:val="7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7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5 Dark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7 Colorful"/>
    <w:basedOn w:val="7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63" w:default="1">
    <w:name w:val="Normal"/>
    <w:qFormat/>
  </w:style>
  <w:style w:type="character" w:styleId="764" w:default="1">
    <w:name w:val="Default Paragraph Font"/>
    <w:uiPriority w:val="1"/>
    <w:semiHidden/>
    <w:unhideWhenUsed/>
  </w:style>
  <w:style w:type="table" w:styleId="7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6" w:default="1">
    <w:name w:val="No List"/>
    <w:uiPriority w:val="99"/>
    <w:semiHidden/>
    <w:unhideWhenUsed/>
  </w:style>
  <w:style w:type="character" w:styleId="767" w:customStyle="1">
    <w:name w:val="Title Char"/>
    <w:basedOn w:val="764"/>
    <w:uiPriority w:val="10"/>
    <w:rPr>
      <w:sz w:val="48"/>
      <w:szCs w:val="48"/>
    </w:rPr>
  </w:style>
  <w:style w:type="character" w:styleId="768" w:customStyle="1">
    <w:name w:val="Subtitle Char"/>
    <w:basedOn w:val="764"/>
    <w:uiPriority w:val="11"/>
    <w:rPr>
      <w:sz w:val="24"/>
      <w:szCs w:val="24"/>
    </w:rPr>
  </w:style>
  <w:style w:type="character" w:styleId="769" w:customStyle="1">
    <w:name w:val="Quote Char"/>
    <w:uiPriority w:val="29"/>
    <w:rPr>
      <w:i/>
    </w:rPr>
  </w:style>
  <w:style w:type="character" w:styleId="770" w:customStyle="1">
    <w:name w:val="Intense Quote Char"/>
    <w:uiPriority w:val="30"/>
    <w:rPr>
      <w:i/>
    </w:rPr>
  </w:style>
  <w:style w:type="character" w:styleId="771" w:customStyle="1">
    <w:name w:val="Footnote Text Char"/>
    <w:uiPriority w:val="99"/>
    <w:rPr>
      <w:sz w:val="18"/>
    </w:rPr>
  </w:style>
  <w:style w:type="character" w:styleId="772" w:customStyle="1">
    <w:name w:val="Endnote Text Char"/>
    <w:uiPriority w:val="99"/>
    <w:rPr>
      <w:sz w:val="20"/>
    </w:rPr>
  </w:style>
  <w:style w:type="paragraph" w:styleId="773" w:customStyle="1">
    <w:name w:val="Заголовок 11"/>
    <w:basedOn w:val="763"/>
    <w:next w:val="763"/>
    <w:link w:val="7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4" w:customStyle="1">
    <w:name w:val="Heading 1 Char"/>
    <w:basedOn w:val="764"/>
    <w:link w:val="773"/>
    <w:uiPriority w:val="9"/>
    <w:rPr>
      <w:rFonts w:ascii="Arial" w:hAnsi="Arial" w:eastAsia="Arial" w:cs="Arial"/>
      <w:sz w:val="40"/>
      <w:szCs w:val="40"/>
    </w:rPr>
  </w:style>
  <w:style w:type="paragraph" w:styleId="775" w:customStyle="1">
    <w:name w:val="Заголовок 21"/>
    <w:basedOn w:val="763"/>
    <w:next w:val="763"/>
    <w:link w:val="7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6" w:customStyle="1">
    <w:name w:val="Heading 2 Char"/>
    <w:basedOn w:val="764"/>
    <w:link w:val="775"/>
    <w:uiPriority w:val="9"/>
    <w:rPr>
      <w:rFonts w:ascii="Arial" w:hAnsi="Arial" w:eastAsia="Arial" w:cs="Arial"/>
      <w:sz w:val="34"/>
    </w:rPr>
  </w:style>
  <w:style w:type="paragraph" w:styleId="777" w:customStyle="1">
    <w:name w:val="Заголовок 31"/>
    <w:basedOn w:val="763"/>
    <w:next w:val="763"/>
    <w:link w:val="7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8" w:customStyle="1">
    <w:name w:val="Heading 3 Char"/>
    <w:basedOn w:val="764"/>
    <w:link w:val="777"/>
    <w:uiPriority w:val="9"/>
    <w:rPr>
      <w:rFonts w:ascii="Arial" w:hAnsi="Arial" w:eastAsia="Arial" w:cs="Arial"/>
      <w:sz w:val="30"/>
      <w:szCs w:val="30"/>
    </w:rPr>
  </w:style>
  <w:style w:type="paragraph" w:styleId="779" w:customStyle="1">
    <w:name w:val="Заголовок 41"/>
    <w:basedOn w:val="763"/>
    <w:next w:val="763"/>
    <w:link w:val="7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0" w:customStyle="1">
    <w:name w:val="Heading 4 Char"/>
    <w:basedOn w:val="764"/>
    <w:link w:val="779"/>
    <w:uiPriority w:val="9"/>
    <w:rPr>
      <w:rFonts w:ascii="Arial" w:hAnsi="Arial" w:eastAsia="Arial" w:cs="Arial"/>
      <w:b/>
      <w:bCs/>
      <w:sz w:val="26"/>
      <w:szCs w:val="26"/>
    </w:rPr>
  </w:style>
  <w:style w:type="paragraph" w:styleId="781" w:customStyle="1">
    <w:name w:val="Заголовок 51"/>
    <w:basedOn w:val="763"/>
    <w:next w:val="763"/>
    <w:link w:val="7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2" w:customStyle="1">
    <w:name w:val="Heading 5 Char"/>
    <w:basedOn w:val="764"/>
    <w:link w:val="781"/>
    <w:uiPriority w:val="9"/>
    <w:rPr>
      <w:rFonts w:ascii="Arial" w:hAnsi="Arial" w:eastAsia="Arial" w:cs="Arial"/>
      <w:b/>
      <w:bCs/>
      <w:sz w:val="24"/>
      <w:szCs w:val="24"/>
    </w:rPr>
  </w:style>
  <w:style w:type="paragraph" w:styleId="783" w:customStyle="1">
    <w:name w:val="Заголовок 61"/>
    <w:basedOn w:val="763"/>
    <w:next w:val="763"/>
    <w:link w:val="7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character" w:styleId="784" w:customStyle="1">
    <w:name w:val="Heading 6 Char"/>
    <w:basedOn w:val="764"/>
    <w:link w:val="783"/>
    <w:uiPriority w:val="9"/>
    <w:rPr>
      <w:rFonts w:ascii="Arial" w:hAnsi="Arial" w:eastAsia="Arial" w:cs="Arial"/>
      <w:b/>
      <w:bCs/>
      <w:sz w:val="22"/>
      <w:szCs w:val="22"/>
    </w:rPr>
  </w:style>
  <w:style w:type="paragraph" w:styleId="785" w:customStyle="1">
    <w:name w:val="Заголовок 71"/>
    <w:basedOn w:val="763"/>
    <w:next w:val="763"/>
    <w:link w:val="7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character" w:styleId="786" w:customStyle="1">
    <w:name w:val="Heading 7 Char"/>
    <w:basedOn w:val="764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7" w:customStyle="1">
    <w:name w:val="Заголовок 81"/>
    <w:basedOn w:val="763"/>
    <w:next w:val="763"/>
    <w:link w:val="7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character" w:styleId="788" w:customStyle="1">
    <w:name w:val="Heading 8 Char"/>
    <w:basedOn w:val="764"/>
    <w:link w:val="787"/>
    <w:uiPriority w:val="9"/>
    <w:rPr>
      <w:rFonts w:ascii="Arial" w:hAnsi="Arial" w:eastAsia="Arial" w:cs="Arial"/>
      <w:i/>
      <w:iCs/>
      <w:sz w:val="22"/>
      <w:szCs w:val="22"/>
    </w:rPr>
  </w:style>
  <w:style w:type="paragraph" w:styleId="789" w:customStyle="1">
    <w:name w:val="Заголовок 91"/>
    <w:basedOn w:val="763"/>
    <w:next w:val="763"/>
    <w:link w:val="7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0" w:customStyle="1">
    <w:name w:val="Heading 9 Char"/>
    <w:basedOn w:val="764"/>
    <w:link w:val="789"/>
    <w:uiPriority w:val="9"/>
    <w:rPr>
      <w:rFonts w:ascii="Arial" w:hAnsi="Arial" w:eastAsia="Arial" w:cs="Arial"/>
      <w:i/>
      <w:iCs/>
      <w:sz w:val="21"/>
      <w:szCs w:val="21"/>
    </w:rPr>
  </w:style>
  <w:style w:type="paragraph" w:styleId="791">
    <w:name w:val="No Spacing"/>
    <w:uiPriority w:val="1"/>
    <w:qFormat/>
    <w:pPr>
      <w:spacing w:after="0" w:line="240" w:lineRule="auto"/>
    </w:pPr>
  </w:style>
  <w:style w:type="paragraph" w:styleId="792">
    <w:name w:val="Title"/>
    <w:basedOn w:val="763"/>
    <w:next w:val="763"/>
    <w:link w:val="7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3" w:customStyle="1">
    <w:name w:val="Заголовок Знак"/>
    <w:basedOn w:val="764"/>
    <w:link w:val="792"/>
    <w:uiPriority w:val="10"/>
    <w:rPr>
      <w:sz w:val="48"/>
      <w:szCs w:val="48"/>
    </w:rPr>
  </w:style>
  <w:style w:type="paragraph" w:styleId="794">
    <w:name w:val="Subtitle"/>
    <w:basedOn w:val="763"/>
    <w:next w:val="763"/>
    <w:link w:val="795"/>
    <w:uiPriority w:val="11"/>
    <w:qFormat/>
    <w:pPr>
      <w:spacing w:before="200" w:after="200"/>
    </w:pPr>
    <w:rPr>
      <w:sz w:val="24"/>
      <w:szCs w:val="24"/>
    </w:rPr>
  </w:style>
  <w:style w:type="character" w:styleId="795" w:customStyle="1">
    <w:name w:val="Подзаголовок Знак"/>
    <w:basedOn w:val="764"/>
    <w:link w:val="794"/>
    <w:uiPriority w:val="11"/>
    <w:rPr>
      <w:sz w:val="24"/>
      <w:szCs w:val="24"/>
    </w:rPr>
  </w:style>
  <w:style w:type="paragraph" w:styleId="796">
    <w:name w:val="Quote"/>
    <w:basedOn w:val="763"/>
    <w:next w:val="763"/>
    <w:link w:val="797"/>
    <w:uiPriority w:val="29"/>
    <w:qFormat/>
    <w:pPr>
      <w:ind w:left="720" w:right="720"/>
    </w:pPr>
    <w:rPr>
      <w:i/>
    </w:rPr>
  </w:style>
  <w:style w:type="character" w:styleId="797" w:customStyle="1">
    <w:name w:val="Цитата 2 Знак"/>
    <w:link w:val="796"/>
    <w:uiPriority w:val="29"/>
    <w:rPr>
      <w:i/>
    </w:rPr>
  </w:style>
  <w:style w:type="paragraph" w:styleId="798">
    <w:name w:val="Intense Quote"/>
    <w:basedOn w:val="763"/>
    <w:next w:val="763"/>
    <w:link w:val="79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 w:customStyle="1">
    <w:name w:val="Выделенная цитата Знак"/>
    <w:link w:val="798"/>
    <w:uiPriority w:val="30"/>
    <w:rPr>
      <w:i/>
    </w:rPr>
  </w:style>
  <w:style w:type="paragraph" w:styleId="800" w:customStyle="1">
    <w:name w:val="Верхний колонтитул1"/>
    <w:basedOn w:val="763"/>
    <w:link w:val="8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1" w:customStyle="1">
    <w:name w:val="Header Char"/>
    <w:basedOn w:val="764"/>
    <w:link w:val="800"/>
    <w:uiPriority w:val="99"/>
  </w:style>
  <w:style w:type="paragraph" w:styleId="802" w:customStyle="1">
    <w:name w:val="Нижний колонтитул1"/>
    <w:basedOn w:val="763"/>
    <w:link w:val="8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3" w:customStyle="1">
    <w:name w:val="Footer Char"/>
    <w:basedOn w:val="764"/>
    <w:uiPriority w:val="99"/>
  </w:style>
  <w:style w:type="paragraph" w:styleId="804" w:customStyle="1">
    <w:name w:val="Название объекта1"/>
    <w:basedOn w:val="763"/>
    <w:next w:val="76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05" w:customStyle="1">
    <w:name w:val="Caption Char"/>
    <w:link w:val="802"/>
    <w:uiPriority w:val="99"/>
  </w:style>
  <w:style w:type="table" w:styleId="806">
    <w:name w:val="Table Grid"/>
    <w:basedOn w:val="76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07" w:customStyle="1">
    <w:name w:val="Table Grid Light"/>
    <w:basedOn w:val="76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8" w:customStyle="1">
    <w:name w:val="Таблица простая 11"/>
    <w:basedOn w:val="76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 w:customStyle="1">
    <w:name w:val="Таблица простая 21"/>
    <w:basedOn w:val="76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 w:customStyle="1">
    <w:name w:val="Таблица простая 31"/>
    <w:basedOn w:val="7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 w:customStyle="1">
    <w:name w:val="Таблица простая 41"/>
    <w:basedOn w:val="7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Таблица простая 51"/>
    <w:basedOn w:val="7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 w:customStyle="1">
    <w:name w:val="Таблица-сетка 1 светлая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Таблица-сетка 2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Таблица-сетка 3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Таблица-сетка 41"/>
    <w:basedOn w:val="7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 w:customStyle="1">
    <w:name w:val="Grid Table 4 - Accent 1"/>
    <w:basedOn w:val="7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36" w:customStyle="1">
    <w:name w:val="Grid Table 4 - Accent 2"/>
    <w:basedOn w:val="7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37" w:customStyle="1">
    <w:name w:val="Grid Table 4 - Accent 3"/>
    <w:basedOn w:val="7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38" w:customStyle="1">
    <w:name w:val="Grid Table 4 - Accent 4"/>
    <w:basedOn w:val="7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39" w:customStyle="1">
    <w:name w:val="Grid Table 4 - Accent 5"/>
    <w:basedOn w:val="7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40" w:customStyle="1">
    <w:name w:val="Grid Table 4 - Accent 6"/>
    <w:basedOn w:val="76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41" w:customStyle="1">
    <w:name w:val="Таблица-сетка 5 темная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48" w:customStyle="1">
    <w:name w:val="Таблица-сетка 6 цветная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9" w:customStyle="1">
    <w:name w:val="Grid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50" w:customStyle="1">
    <w:name w:val="Grid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51" w:customStyle="1">
    <w:name w:val="Grid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52" w:customStyle="1">
    <w:name w:val="Grid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53" w:customStyle="1">
    <w:name w:val="Grid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54" w:customStyle="1">
    <w:name w:val="Grid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55" w:customStyle="1">
    <w:name w:val="Таблица-сетка 7 цветная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Список-таблица 1 светлая1"/>
    <w:basedOn w:val="7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1"/>
    <w:basedOn w:val="7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2"/>
    <w:basedOn w:val="7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3"/>
    <w:basedOn w:val="7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4"/>
    <w:basedOn w:val="7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5"/>
    <w:basedOn w:val="7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6"/>
    <w:basedOn w:val="76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Список-таблица 2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76" w:customStyle="1">
    <w:name w:val="Список-таблица 3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Список-таблица 4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Список-таблица 5 темная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Список-таблица 6 цветная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8" w:customStyle="1">
    <w:name w:val="List Table 6 Colorful 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99" w:customStyle="1">
    <w:name w:val="List Table 6 Colorful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00" w:customStyle="1">
    <w:name w:val="List Table 6 Colorful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01" w:customStyle="1">
    <w:name w:val="List Table 6 Colorful 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02" w:customStyle="1">
    <w:name w:val="List Table 6 Colorful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03" w:customStyle="1">
    <w:name w:val="List Table 6 Colorful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04" w:customStyle="1">
    <w:name w:val="Список-таблица 7 цветная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ned - Accent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2" w:customStyle="1">
    <w:name w:val="Lined - Accent 1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13" w:customStyle="1">
    <w:name w:val="Lined - Accent 2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4" w:customStyle="1">
    <w:name w:val="Lined - Accent 3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5" w:customStyle="1">
    <w:name w:val="Lined - Accent 4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6" w:customStyle="1">
    <w:name w:val="Lined - Accent 5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17" w:customStyle="1">
    <w:name w:val="Lined - Accent 6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8" w:customStyle="1">
    <w:name w:val="Bordered &amp; Lined - Accent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9" w:customStyle="1">
    <w:name w:val="Bordered &amp; Lined - Accent 1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20" w:customStyle="1">
    <w:name w:val="Bordered &amp; Lined - Accent 2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21" w:customStyle="1">
    <w:name w:val="Bordered &amp; Lined - Accent 3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22" w:customStyle="1">
    <w:name w:val="Bordered &amp; Lined - Accent 4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23" w:customStyle="1">
    <w:name w:val="Bordered &amp; Lined - Accent 5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24" w:customStyle="1">
    <w:name w:val="Bordered &amp; Lined - Accent 6"/>
    <w:basedOn w:val="76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25" w:customStyle="1">
    <w:name w:val="Bordered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6" w:customStyle="1">
    <w:name w:val="Bordered - Accent 1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27" w:customStyle="1">
    <w:name w:val="Bordered - Accent 2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28" w:customStyle="1">
    <w:name w:val="Bordered - Accent 3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29" w:customStyle="1">
    <w:name w:val="Bordered - Accent 4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30" w:customStyle="1">
    <w:name w:val="Bordered - Accent 5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31" w:customStyle="1">
    <w:name w:val="Bordered - Accent 6"/>
    <w:basedOn w:val="76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32">
    <w:name w:val="footnote text"/>
    <w:basedOn w:val="763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 w:customStyle="1">
    <w:name w:val="Текст сноски Знак"/>
    <w:link w:val="932"/>
    <w:uiPriority w:val="99"/>
    <w:rPr>
      <w:sz w:val="18"/>
    </w:rPr>
  </w:style>
  <w:style w:type="character" w:styleId="934">
    <w:name w:val="footnote reference"/>
    <w:basedOn w:val="764"/>
    <w:uiPriority w:val="99"/>
    <w:unhideWhenUsed/>
    <w:rPr>
      <w:vertAlign w:val="superscript"/>
    </w:rPr>
  </w:style>
  <w:style w:type="paragraph" w:styleId="935">
    <w:name w:val="endnote text"/>
    <w:basedOn w:val="763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 w:customStyle="1">
    <w:name w:val="Текст концевой сноски Знак"/>
    <w:link w:val="935"/>
    <w:uiPriority w:val="99"/>
    <w:rPr>
      <w:sz w:val="20"/>
    </w:rPr>
  </w:style>
  <w:style w:type="character" w:styleId="937">
    <w:name w:val="endnote reference"/>
    <w:basedOn w:val="764"/>
    <w:uiPriority w:val="99"/>
    <w:semiHidden/>
    <w:unhideWhenUsed/>
    <w:rPr>
      <w:vertAlign w:val="superscript"/>
    </w:rPr>
  </w:style>
  <w:style w:type="paragraph" w:styleId="938">
    <w:name w:val="toc 1"/>
    <w:basedOn w:val="763"/>
    <w:next w:val="763"/>
    <w:uiPriority w:val="39"/>
    <w:unhideWhenUsed/>
    <w:pPr>
      <w:spacing w:after="57"/>
    </w:pPr>
  </w:style>
  <w:style w:type="paragraph" w:styleId="939">
    <w:name w:val="toc 2"/>
    <w:basedOn w:val="763"/>
    <w:next w:val="763"/>
    <w:uiPriority w:val="39"/>
    <w:unhideWhenUsed/>
    <w:pPr>
      <w:ind w:left="283"/>
      <w:spacing w:after="57"/>
    </w:pPr>
  </w:style>
  <w:style w:type="paragraph" w:styleId="940">
    <w:name w:val="toc 3"/>
    <w:basedOn w:val="763"/>
    <w:next w:val="763"/>
    <w:uiPriority w:val="39"/>
    <w:unhideWhenUsed/>
    <w:pPr>
      <w:ind w:left="567"/>
      <w:spacing w:after="57"/>
    </w:pPr>
  </w:style>
  <w:style w:type="paragraph" w:styleId="941">
    <w:name w:val="toc 4"/>
    <w:basedOn w:val="763"/>
    <w:next w:val="763"/>
    <w:uiPriority w:val="39"/>
    <w:unhideWhenUsed/>
    <w:pPr>
      <w:ind w:left="850"/>
      <w:spacing w:after="57"/>
    </w:pPr>
  </w:style>
  <w:style w:type="paragraph" w:styleId="942">
    <w:name w:val="toc 5"/>
    <w:basedOn w:val="763"/>
    <w:next w:val="763"/>
    <w:uiPriority w:val="39"/>
    <w:unhideWhenUsed/>
    <w:pPr>
      <w:ind w:left="1134"/>
      <w:spacing w:after="57"/>
    </w:pPr>
  </w:style>
  <w:style w:type="paragraph" w:styleId="943">
    <w:name w:val="toc 6"/>
    <w:basedOn w:val="763"/>
    <w:next w:val="763"/>
    <w:uiPriority w:val="39"/>
    <w:unhideWhenUsed/>
    <w:pPr>
      <w:ind w:left="1417"/>
      <w:spacing w:after="57"/>
    </w:pPr>
  </w:style>
  <w:style w:type="paragraph" w:styleId="944">
    <w:name w:val="toc 7"/>
    <w:basedOn w:val="763"/>
    <w:next w:val="763"/>
    <w:uiPriority w:val="39"/>
    <w:unhideWhenUsed/>
    <w:pPr>
      <w:ind w:left="1701"/>
      <w:spacing w:after="57"/>
    </w:pPr>
  </w:style>
  <w:style w:type="paragraph" w:styleId="945">
    <w:name w:val="toc 8"/>
    <w:basedOn w:val="763"/>
    <w:next w:val="763"/>
    <w:uiPriority w:val="39"/>
    <w:unhideWhenUsed/>
    <w:pPr>
      <w:ind w:left="1984"/>
      <w:spacing w:after="57"/>
    </w:pPr>
  </w:style>
  <w:style w:type="paragraph" w:styleId="946">
    <w:name w:val="toc 9"/>
    <w:basedOn w:val="763"/>
    <w:next w:val="763"/>
    <w:uiPriority w:val="39"/>
    <w:unhideWhenUsed/>
    <w:pPr>
      <w:ind w:left="2268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763"/>
    <w:next w:val="763"/>
    <w:uiPriority w:val="99"/>
    <w:unhideWhenUsed/>
    <w:pPr>
      <w:spacing w:after="0"/>
    </w:pPr>
  </w:style>
  <w:style w:type="paragraph" w:styleId="949" w:customStyle="1">
    <w:name w:val="ConsPlusNormal"/>
    <w:link w:val="951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950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51" w:customStyle="1">
    <w:name w:val="ConsPlusNormal Знак"/>
    <w:link w:val="949"/>
    <w:uiPriority w:val="99"/>
    <w:rPr>
      <w:rFonts w:ascii="Calibri" w:hAnsi="Calibri" w:eastAsia="Times New Roman" w:cs="Calibri"/>
      <w:szCs w:val="20"/>
      <w:lang w:eastAsia="ru-RU"/>
    </w:rPr>
  </w:style>
  <w:style w:type="character" w:styleId="952">
    <w:name w:val="Hyperlink"/>
    <w:basedOn w:val="764"/>
    <w:uiPriority w:val="99"/>
    <w:semiHidden/>
    <w:unhideWhenUsed/>
    <w:rPr>
      <w:color w:val="0563c1" w:themeColor="hyperlink"/>
      <w:u w:val="single"/>
    </w:rPr>
  </w:style>
  <w:style w:type="paragraph" w:styleId="953">
    <w:name w:val="List Paragraph"/>
    <w:basedOn w:val="763"/>
    <w:uiPriority w:val="34"/>
    <w:qFormat/>
    <w:pPr>
      <w:contextualSpacing/>
      <w:ind w:left="720"/>
    </w:pPr>
  </w:style>
  <w:style w:type="paragraph" w:styleId="954">
    <w:name w:val="Balloon Text"/>
    <w:basedOn w:val="763"/>
    <w:link w:val="95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55" w:customStyle="1">
    <w:name w:val="Текст выноски Знак"/>
    <w:basedOn w:val="764"/>
    <w:link w:val="954"/>
    <w:uiPriority w:val="99"/>
    <w:semiHidden/>
    <w:rPr>
      <w:rFonts w:ascii="Segoe UI" w:hAnsi="Segoe UI" w:cs="Segoe UI"/>
      <w:sz w:val="18"/>
      <w:szCs w:val="18"/>
    </w:rPr>
  </w:style>
  <w:style w:type="paragraph" w:styleId="956">
    <w:name w:val="Normal (Web)"/>
    <w:basedOn w:val="763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57" w:customStyle="1">
    <w:name w:val="StGen0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LiberationSerif" w:hAnsi="LiberationSerif" w:eastAsia="LiberationSerif" w:cs="LiberationSerif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58" w:customStyle="1">
    <w:name w:val="Обычный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60" w:afterAutospacing="0" w:line="259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Calib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CD834-9DAF-4DFD-AFD2-DB18C938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Димитрова Виктория Александровна</dc:creator>
  <cp:revision>13</cp:revision>
  <dcterms:created xsi:type="dcterms:W3CDTF">2024-01-22T08:07:00Z</dcterms:created>
  <dcterms:modified xsi:type="dcterms:W3CDTF">2024-06-26T09:50:47Z</dcterms:modified>
</cp:coreProperties>
</file>