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5F1" w:rsidRDefault="00FF0555" w:rsidP="004D1D72">
      <w:pPr>
        <w:pStyle w:val="1"/>
        <w:shd w:val="clear" w:color="auto" w:fill="FFFFFF"/>
        <w:spacing w:before="0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5198745</wp:posOffset>
            </wp:positionH>
            <wp:positionV relativeFrom="margin">
              <wp:align>top</wp:align>
            </wp:positionV>
            <wp:extent cx="3110865" cy="252095"/>
            <wp:effectExtent l="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25F1" w:rsidRDefault="007A25F1">
      <w:pPr>
        <w:pStyle w:val="1"/>
        <w:shd w:val="clear" w:color="auto" w:fill="FFFFFF"/>
        <w:spacing w:before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</w:p>
    <w:p w:rsidR="007A25F1" w:rsidRDefault="00FF0555">
      <w:pPr>
        <w:pStyle w:val="1"/>
        <w:shd w:val="clear" w:color="auto" w:fill="FFFFFF"/>
        <w:spacing w:before="0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 xml:space="preserve">Памятка о правилах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расчета пени за нарушение сроков поставок товаров, выполнения работ, оказание услуг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по государственным контрактам, заключенным в рамках </w:t>
      </w:r>
      <w:r>
        <w:rPr>
          <w:rFonts w:ascii="Times New Roman" w:eastAsia="Times New Roman" w:hAnsi="Times New Roman" w:cs="Times New Roman"/>
          <w:b/>
          <w:color w:val="292B2C"/>
          <w:sz w:val="28"/>
          <w:szCs w:val="28"/>
          <w:lang w:eastAsia="ru-RU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от 05.04.2013 № 44-ФЗ «О контрактной системе в сфере закупок товаров, работ, услуг для обеспечения государственных и муниципальных нужд»</w:t>
      </w:r>
    </w:p>
    <w:p w:rsidR="007A25F1" w:rsidRDefault="007A25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25F1" w:rsidRDefault="00FF0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Частью 4 статьи 34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 установлено, что 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контракт включается </w:t>
      </w:r>
      <w:r>
        <w:rPr>
          <w:rFonts w:ascii="Times New Roman" w:hAnsi="Times New Roman" w:cs="Times New Roman"/>
          <w:b/>
          <w:sz w:val="28"/>
          <w:szCs w:val="28"/>
        </w:rPr>
        <w:t>обязательное условие</w:t>
      </w:r>
      <w:r>
        <w:rPr>
          <w:rFonts w:ascii="Times New Roman" w:hAnsi="Times New Roman" w:cs="Times New Roman"/>
          <w:sz w:val="28"/>
          <w:szCs w:val="28"/>
        </w:rPr>
        <w:t xml:space="preserve">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</w:t>
      </w:r>
    </w:p>
    <w:p w:rsidR="007A25F1" w:rsidRDefault="00FF05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частями 6 и 7 статьи 34 Закон № 44-ФЗ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</w:t>
      </w:r>
      <w:r>
        <w:rPr>
          <w:rFonts w:ascii="Times New Roman" w:hAnsi="Times New Roman" w:cs="Times New Roman"/>
          <w:b/>
          <w:sz w:val="28"/>
          <w:szCs w:val="28"/>
        </w:rPr>
        <w:t>требование об уплате</w:t>
      </w:r>
      <w:r>
        <w:rPr>
          <w:rFonts w:ascii="Times New Roman" w:hAnsi="Times New Roman" w:cs="Times New Roman"/>
          <w:sz w:val="28"/>
          <w:szCs w:val="28"/>
        </w:rPr>
        <w:t xml:space="preserve"> неустоек (штрафов, пеней).</w:t>
      </w:r>
    </w:p>
    <w:p w:rsidR="007A25F1" w:rsidRDefault="00FF05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Пеня начисляется </w:t>
      </w:r>
      <w:r>
        <w:rPr>
          <w:rFonts w:ascii="Times New Roman" w:hAnsi="Times New Roman" w:cs="Times New Roman"/>
          <w:b/>
          <w:sz w:val="28"/>
          <w:szCs w:val="28"/>
        </w:rPr>
        <w:t>за каждый день просрочки</w:t>
      </w:r>
      <w:r>
        <w:rPr>
          <w:rFonts w:ascii="Times New Roman" w:hAnsi="Times New Roman" w:cs="Times New Roman"/>
          <w:sz w:val="28"/>
          <w:szCs w:val="28"/>
        </w:rPr>
        <w:t xml:space="preserve"> исполнения поставщиком (подрядчиком, исполнителем) обязательства, предусмотренного контрактом, </w:t>
      </w:r>
      <w:r>
        <w:rPr>
          <w:rFonts w:ascii="Times New Roman" w:hAnsi="Times New Roman" w:cs="Times New Roman"/>
          <w:b/>
          <w:sz w:val="28"/>
          <w:szCs w:val="28"/>
        </w:rPr>
        <w:t>начиная со дня, следующего после дня истечения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установленного контрактом срока исполнения обязательства, и устанавливается контрактом в размере одной трехсотой действующей </w:t>
      </w:r>
      <w:r>
        <w:rPr>
          <w:rFonts w:ascii="Times New Roman" w:hAnsi="Times New Roman" w:cs="Times New Roman"/>
          <w:b/>
          <w:sz w:val="28"/>
          <w:szCs w:val="28"/>
        </w:rPr>
        <w:t>на дату уплаты пени ключевой ставки</w:t>
      </w:r>
      <w:r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 от цены контракта (отдельного этапа исполнения контракта), уменьшенной на сумму, пропорциональную объему обязательств, предусмотренных контрактом (соответствующим отдельным этапом исполнения контракта) и фактически исполненных поставщиком (подрядчиком, исполнителем), за исключением случаев, если законодательством Российской Федерации установлен иной порядок начисления пени.</w:t>
      </w:r>
    </w:p>
    <w:p w:rsidR="007A25F1" w:rsidRDefault="00FF05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при расчете пени рекомендуется учитывать следующее:</w:t>
      </w:r>
    </w:p>
    <w:p w:rsidR="007A25F1" w:rsidRDefault="00FF0555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1) при расчете количества дней просрочки учитываются календарные дни, в том числе выходные и праздничные (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письмо Минфина России от 13.04.2016      № 02-04-06/21780);</w:t>
      </w:r>
    </w:p>
    <w:p w:rsidR="007A25F1" w:rsidRDefault="00FF0555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период просрочки исполнения обязательства не подлежат включению дни, потребовавшиеся заказчику для приемки выполненной работы (ее</w:t>
      </w:r>
    </w:p>
    <w:p w:rsidR="007A25F1" w:rsidRDefault="00FF0555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результатов) и оформления итогов такой приемки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письма Минфина России от 07.11.2017 № 24-03-08/73293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 16.03.2020 № 24-03-07/19771);</w:t>
      </w:r>
    </w:p>
    <w:p w:rsidR="007A25F1" w:rsidRDefault="00FF0555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lastRenderedPageBreak/>
        <w:t xml:space="preserve">3) пеня начисляется за каждый день просрочки,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со дня, следующего после дня истечения установленного контрактом срока исполнения обязательства и включая день фактического исполнения обязательства поставщиком (</w:t>
      </w:r>
      <w:hyperlink r:id="rId6">
        <w:r>
          <w:rPr>
            <w:rFonts w:ascii="Times New Roman" w:hAnsi="Times New Roman" w:cs="Times New Roman"/>
            <w:sz w:val="28"/>
            <w:szCs w:val="28"/>
          </w:rPr>
          <w:t>пункт 65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24.03.2016 № 7 «О применении судами некоторых положений Гражданского кодекса Российской Федерации об ответственности за нарушение обязательств»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A25F1" w:rsidRDefault="00FF0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4) 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пеня за просрочку исполнения поставщиком (подрядчиком, исполнителем) обязательств по контракту подлежит начислению до момента прекращения в результате одностороннего отказа заказчика от его исполнения.</w:t>
      </w:r>
    </w:p>
    <w:p w:rsidR="007A25F1" w:rsidRDefault="00FF0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Одновременно за факт неисполнения поставщиком (подрядчиком, исполнителем) обязательств по контракту, послужившего основанием для одностороннего отказа заказчика от его исполнения, взыскивается штраф в виде фиксированной суммы (пункт 36 обзора судебной практики применения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(утв. Президиумом Верховного суда Российской Федерации от 28.06.2017);</w:t>
      </w:r>
    </w:p>
    <w:p w:rsidR="007A25F1" w:rsidRDefault="00FF0555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5) объем фактически исполненных поставщиком обязательств на момент окончания срока контракта (этапа контракта) определяется на основе документов о приемке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результатов выполнения работ, оказания услуг;</w:t>
      </w:r>
    </w:p>
    <w:p w:rsidR="007A25F1" w:rsidRDefault="00FF0555">
      <w:pPr>
        <w:pStyle w:val="1"/>
        <w:shd w:val="clear" w:color="auto" w:fill="FFFFFF"/>
        <w:spacing w:before="0" w:line="312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6) при расчете пени ключевая ставка </w:t>
      </w:r>
      <w:r>
        <w:rPr>
          <w:rFonts w:ascii="Times New Roman" w:hAnsi="Times New Roman" w:cs="Times New Roman"/>
          <w:color w:val="auto"/>
          <w:sz w:val="28"/>
          <w:szCs w:val="28"/>
        </w:rPr>
        <w:t>Центрального банка Российской Федерации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берется на дату расчета пени. Учитывая, что до момента уплаты пени поставщиком (подрядчиком, исполнителем) ключевая ставка Центрального Банка Российской Федерации может изменяться, заказчику и поставщику необходимо самостоятельно отлеживать указанные изменения и производить (контролировать) перерасчет суммы пени по направленному требованию исходя из </w:t>
      </w:r>
      <w:r>
        <w:rPr>
          <w:rFonts w:ascii="Times New Roman" w:hAnsi="Times New Roman" w:cs="Times New Roman"/>
          <w:color w:val="auto"/>
          <w:sz w:val="28"/>
          <w:szCs w:val="28"/>
        </w:rPr>
        <w:t>действующей на дату уплаты пени ключевой ставки Центрального банка Российской Федерации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; </w:t>
      </w:r>
    </w:p>
    <w:p w:rsidR="007A25F1" w:rsidRDefault="00FF05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расчет пени производится единой формулой на весь период просрочки на основе </w:t>
      </w:r>
      <w:r>
        <w:rPr>
          <w:rFonts w:ascii="Times New Roman" w:hAnsi="Times New Roman" w:cs="Times New Roman"/>
          <w:sz w:val="28"/>
          <w:szCs w:val="28"/>
        </w:rPr>
        <w:t>ключевой ставки Центрального банка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дату расчета пени (то есть заказчик при расчете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пени не разбивает период просрочки на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подпериоды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исходя из разных действующих в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подпериодах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размерах ключевой ставки </w:t>
      </w:r>
      <w:r>
        <w:rPr>
          <w:rFonts w:ascii="Times New Roman" w:hAnsi="Times New Roman" w:cs="Times New Roman"/>
          <w:sz w:val="28"/>
          <w:szCs w:val="28"/>
        </w:rPr>
        <w:t>Центрального банка Российской Федерации)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</w:p>
    <w:p w:rsidR="007A25F1" w:rsidRDefault="007A25F1">
      <w:pPr>
        <w:pStyle w:val="a8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</w:p>
    <w:p w:rsidR="007A25F1" w:rsidRDefault="00FF0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Формула расчета пени для поставщика: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44"/>
        <w:gridCol w:w="352"/>
        <w:gridCol w:w="1322"/>
        <w:gridCol w:w="336"/>
        <w:gridCol w:w="1702"/>
        <w:gridCol w:w="985"/>
        <w:gridCol w:w="1417"/>
        <w:gridCol w:w="1062"/>
        <w:gridCol w:w="1301"/>
      </w:tblGrid>
      <w:tr w:rsidR="007A25F1">
        <w:tc>
          <w:tcPr>
            <w:tcW w:w="1444" w:type="dxa"/>
            <w:shd w:val="clear" w:color="auto" w:fill="FFFFFF"/>
            <w:vAlign w:val="center"/>
          </w:tcPr>
          <w:p w:rsidR="007A25F1" w:rsidRDefault="00FF055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B2C"/>
                <w:sz w:val="24"/>
                <w:szCs w:val="24"/>
                <w:lang w:eastAsia="ru-RU"/>
              </w:rPr>
              <w:t>Пеня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7A25F1" w:rsidRDefault="00FF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B2C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7A25F1" w:rsidRDefault="00FF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B2C"/>
                <w:sz w:val="24"/>
                <w:szCs w:val="24"/>
                <w:lang w:eastAsia="ru-RU"/>
              </w:rPr>
              <w:t>Цена контракта (этапа контракта)</w:t>
            </w:r>
          </w:p>
        </w:tc>
        <w:tc>
          <w:tcPr>
            <w:tcW w:w="336" w:type="dxa"/>
            <w:shd w:val="clear" w:color="auto" w:fill="FFFFFF"/>
            <w:vAlign w:val="center"/>
          </w:tcPr>
          <w:p w:rsidR="007A25F1" w:rsidRDefault="00FF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B2C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A25F1" w:rsidRDefault="00FF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B2C"/>
                <w:sz w:val="24"/>
                <w:szCs w:val="24"/>
                <w:lang w:eastAsia="ru-RU"/>
              </w:rPr>
              <w:t>Стоимость обязательства, которое поставщик исполнил в срок</w:t>
            </w:r>
          </w:p>
        </w:tc>
        <w:tc>
          <w:tcPr>
            <w:tcW w:w="985" w:type="dxa"/>
            <w:shd w:val="clear" w:color="auto" w:fill="FFFFFF"/>
            <w:vAlign w:val="center"/>
          </w:tcPr>
          <w:p w:rsidR="007A25F1" w:rsidRDefault="00FF05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×</w:t>
            </w:r>
          </w:p>
          <w:p w:rsidR="007A25F1" w:rsidRDefault="00FF055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292B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7A25F1" w:rsidRDefault="00FF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B2C"/>
                <w:sz w:val="24"/>
                <w:szCs w:val="24"/>
                <w:lang w:eastAsia="ru-RU"/>
              </w:rPr>
              <w:t>Количество дней просрочки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7A25F1" w:rsidRDefault="00FF0555">
            <w:pPr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×</w:t>
            </w:r>
          </w:p>
          <w:p w:rsidR="007A25F1" w:rsidRDefault="00FF055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B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shd w:val="clear" w:color="auto" w:fill="FFFFFF"/>
            <w:vAlign w:val="center"/>
          </w:tcPr>
          <w:p w:rsidR="007A25F1" w:rsidRDefault="00FF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B2C"/>
                <w:sz w:val="24"/>
                <w:szCs w:val="24"/>
                <w:lang w:eastAsia="ru-RU"/>
              </w:rPr>
              <w:t>1/300 ключевой ставки ЦБ на день уплаты пени</w:t>
            </w:r>
          </w:p>
        </w:tc>
      </w:tr>
    </w:tbl>
    <w:p w:rsidR="007A25F1" w:rsidRDefault="007A25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A25F1">
      <w:pgSz w:w="11906" w:h="16838"/>
      <w:pgMar w:top="1134" w:right="567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F1"/>
    <w:rsid w:val="004D1D72"/>
    <w:rsid w:val="007A25F1"/>
    <w:rsid w:val="00FF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F0A3"/>
  <w15:docId w15:val="{A5E60902-372B-4E27-85C6-F386960B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uiPriority w:val="9"/>
    <w:qFormat/>
    <w:rsid w:val="00691B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"/>
    <w:qFormat/>
    <w:rsid w:val="00691B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3">
    <w:name w:val="Текст сноски Знак"/>
    <w:basedOn w:val="a0"/>
    <w:uiPriority w:val="99"/>
    <w:semiHidden/>
    <w:qFormat/>
    <w:rsid w:val="007E2BEE"/>
    <w:rPr>
      <w:sz w:val="20"/>
      <w:szCs w:val="20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7E2BEE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a4">
    <w:name w:val="Hyperlink"/>
    <w:basedOn w:val="a0"/>
    <w:uiPriority w:val="99"/>
    <w:semiHidden/>
    <w:unhideWhenUsed/>
    <w:rsid w:val="00087835"/>
    <w:rPr>
      <w:color w:val="0000FF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527CBC"/>
    <w:pPr>
      <w:ind w:left="720"/>
      <w:contextualSpacing/>
    </w:pPr>
  </w:style>
  <w:style w:type="paragraph" w:styleId="a9">
    <w:name w:val="footnote text"/>
    <w:basedOn w:val="a"/>
    <w:uiPriority w:val="99"/>
    <w:semiHidden/>
    <w:unhideWhenUsed/>
    <w:rsid w:val="007E2BEE"/>
    <w:pPr>
      <w:spacing w:after="0" w:line="240" w:lineRule="auto"/>
    </w:pPr>
    <w:rPr>
      <w:sz w:val="20"/>
      <w:szCs w:val="20"/>
    </w:rPr>
  </w:style>
  <w:style w:type="paragraph" w:customStyle="1" w:styleId="rts-text">
    <w:name w:val="rts-text"/>
    <w:basedOn w:val="a"/>
    <w:qFormat/>
    <w:rsid w:val="00F92A2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57E9B8E9954A77689D131F111E32384EB8DFB43ABCAEFCAE727C83304353128843E69B04A8D5219415A2366B7C74A3231BB6C3F9C1C5CB84D45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02288-1915-4872-8410-BD3C74FD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Бугровская Арина Сергеевна</dc:creator>
  <dc:description/>
  <cp:lastModifiedBy>Карпова Ирина Юрьевна</cp:lastModifiedBy>
  <cp:revision>2</cp:revision>
  <dcterms:created xsi:type="dcterms:W3CDTF">2023-03-31T07:31:00Z</dcterms:created>
  <dcterms:modified xsi:type="dcterms:W3CDTF">2023-03-31T07:31:00Z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