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AF0" w:rsidRPr="00183EAF" w:rsidRDefault="00B677CF" w:rsidP="00183EA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4903470</wp:posOffset>
            </wp:positionH>
            <wp:positionV relativeFrom="page">
              <wp:posOffset>731520</wp:posOffset>
            </wp:positionV>
            <wp:extent cx="3110865" cy="25209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7AF0" w:rsidRDefault="00FB7AF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AF0" w:rsidRDefault="00B67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FB7AF0" w:rsidRDefault="00B677C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правилах привлечения работников к работе в выходные и нерабочие праздничные дни</w:t>
      </w:r>
    </w:p>
    <w:p w:rsidR="00FB7AF0" w:rsidRDefault="00FB7AF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AF0" w:rsidRDefault="00B677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113 Трудового кодекса Российской Федерации работа в выходные и нерабочие праздничные дни запрещается.</w:t>
      </w:r>
    </w:p>
    <w:p w:rsidR="00FB7AF0" w:rsidRDefault="00B677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работников к работе в выходные и нерабочие праздничные дни производится:</w:t>
      </w:r>
    </w:p>
    <w:p w:rsidR="00FB7AF0" w:rsidRDefault="00B677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с письменного согласия работника</w:t>
      </w:r>
      <w:r>
        <w:rPr>
          <w:rFonts w:ascii="Times New Roman" w:hAnsi="Times New Roman" w:cs="Times New Roman"/>
          <w:sz w:val="28"/>
          <w:szCs w:val="28"/>
        </w:rPr>
        <w:t xml:space="preserve"> – в случае необходимости выполнения заранее непредвиденных работ, от срочного выполнения которых зависит в дальнейшем нормальная работа организации в целом или ее отдельных структурных подразделений, индивидуального предпринимателя;</w:t>
      </w:r>
    </w:p>
    <w:p w:rsidR="00FB7AF0" w:rsidRDefault="00B677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без согласия работников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7AF0" w:rsidRDefault="00B677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для предотвращения катастрофы, производственной аварии либо устранения последствий катастрофы, производственной аварии или стихийного бедствия;</w:t>
      </w:r>
    </w:p>
    <w:p w:rsidR="00FB7AF0" w:rsidRDefault="00B677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для предотвращения несчастных случаев, уничтожения или порчи имущества работодателя, государственного или муниципального имущества;</w:t>
      </w:r>
    </w:p>
    <w:p w:rsidR="00FB7AF0" w:rsidRDefault="00B677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для выполнения работ, необходимость которых обусловлена введением чрезвычайного или военного положения, а также неотложных работ в условиях чрезвычайных обстоятельств, то есть в случае бедствия или угрозы бедствия (пожары, наводнения,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части.</w:t>
      </w:r>
    </w:p>
    <w:p w:rsidR="00FB7AF0" w:rsidRDefault="00B677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отдельных категорий работников порядок привлечения к работе в нерабочие праздничные дни может устанавливаться коллективным договором, локальным нормативным актом, трудовым договором. К таким категориям ст. 113 ТК РФ относит творческих работников средств массовой информации, организаций кинематографии, теле- и видеосъемочных коллективов, театров, театральных и концертных организаций, цирков и иных лиц, участвующих в создании и (или) исполнении (экспонировании) произведений, в соответствии с перечнями работ, профессий, должностей этих работников, утверждаемыми Правительством Российской Федерации с учетом мнения Российской трехсторонней комиссии по регулированию социально-трудовых отношений. Указанный перечень утвержден постановлением Правительства Российской Федерации от 28.04.2007 № 252.</w:t>
      </w:r>
    </w:p>
    <w:p w:rsidR="00FB7AF0" w:rsidRDefault="00B677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работников, которых ни при каких условиях нельзя привлекать к работе в выходные и нерабочие праздничные дни, установлены федеральным законодательством. К ним относятся, в частности:</w:t>
      </w:r>
    </w:p>
    <w:p w:rsidR="00FB7AF0" w:rsidRDefault="00B677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инвалиды, если такая работа запрещена им по состоянию здоровья в соответствии с медицинским заключением (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ст. 113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ТК РФ);</w:t>
      </w:r>
    </w:p>
    <w:p w:rsidR="00FB7AF0" w:rsidRDefault="00B677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женщины, имеющие детей в возрасте до трех лет, если такая работа запрещена им по состоянию здоровья в соответствии с медицинским заключением (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ст. 113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ст. 259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ТК РФ);</w:t>
      </w:r>
    </w:p>
    <w:p w:rsidR="00FB7AF0" w:rsidRDefault="00B677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беременные женщины (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ст. 259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ТК РФ);</w:t>
      </w:r>
    </w:p>
    <w:p w:rsidR="00FB7AF0" w:rsidRDefault="00B677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несовершеннолетние работники, за исключением:</w:t>
      </w:r>
    </w:p>
    <w:p w:rsidR="00FB7AF0" w:rsidRDefault="00B677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творческих работников средств массовой информации, организаций кинематографии, теле- и видеосъемочных коллективов, театров, театральных и концертных организаций, цирков и иных лиц, участвующих в создании и (или) исполнении (экспонировании) произведений, в соответствии с перечнем работ, профессий, должностей этих работников, утверждаемыми постановлением Правительства Российской Федерации от 28.04.2007 № 252 (ст. 268 ТК РФ);</w:t>
      </w:r>
    </w:p>
    <w:p w:rsidR="00FB7AF0" w:rsidRDefault="00B677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спортсменов, привлечение которых к работе в выходные и нерабочие праздничные дни допускаются в случаях и порядке, которые предусмотрены трудовым законодательством и иными нормативными правовыми актами, содержащими нормы трудового права, коллективными договорами, соглашениями, локальными нормативными актами, трудовым договором (ст. 348.8 ТК РФ);</w:t>
      </w:r>
    </w:p>
    <w:p w:rsidR="00FB7AF0" w:rsidRDefault="00B677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работники, имеющие детей-инвалидов, работники, осуществляющим уход за больными членами их семей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матери и отцы, воспитывающие без супруга (супруги) детей в возрасте до четырнадцати лет, опекуны детей указанного возраста, родители, имеющие ребенка в возрасте до четырнадцати лет, в случае, если другой родитель работает вахтовым методом, а также работники, имеющие трех и более детей в возрасте до восемнадцати лет, в период до достижения младшим из детей возраста четырнадцати лет, если такая работа запрещена им по состоянию здоровья в соответствии с медицинским заключением (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ст. 259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ТК РФ).</w:t>
      </w:r>
    </w:p>
    <w:p w:rsidR="00FB7AF0" w:rsidRDefault="00FB7AF0" w:rsidP="00183E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F0" w:rsidRDefault="00B677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выходной или нерабочий праздничный день оплачивается не менее чем в двойном размере на условиях, определенных ст. 153 ТК РФ.</w:t>
      </w:r>
    </w:p>
    <w:p w:rsidR="00FB7AF0" w:rsidRDefault="00B677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компенсации за работу в выходной или нерабочий праздничный день (ст. 153 ТК РФ):</w:t>
      </w:r>
    </w:p>
    <w:p w:rsidR="00FB7AF0" w:rsidRDefault="00B677CF">
      <w:pPr>
        <w:pStyle w:val="ad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повышенная оплата;</w:t>
      </w:r>
    </w:p>
    <w:p w:rsidR="00FB7AF0" w:rsidRDefault="00B677CF">
      <w:pPr>
        <w:pStyle w:val="ad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дополнительное время отдыха.</w:t>
      </w:r>
    </w:p>
    <w:p w:rsidR="00FB7AF0" w:rsidRDefault="00B677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 (ст. 153 ТК РФ)</w:t>
      </w:r>
    </w:p>
    <w:p w:rsidR="00FB7AF0" w:rsidRDefault="00B677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сам выбирает вид компенсации (ст. 153 ТК РФ). Исключение составляют те работники, с которыми срочный трудовой договор заключен на срок до двух месяцев. Они не вправе выбрать отгул (ст. 290 ТК РФ).</w:t>
      </w:r>
    </w:p>
    <w:p w:rsidR="00FB7AF0" w:rsidRDefault="00B677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в соответствии с трудовым законодательством трудовой договор с руководителем учреждения (автономной некоммерческой организации), заключается с органом, выполняющим функции и полномочия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учредителя (далее – Учредитель), именно Учредитель определяет в трудовом договоре условия оплаты труда (ст. 57 ТК РФ). Таким образом, решение о начислении и выплате доплаты за работу в выходной день относится к компетенции работодателя (Учредителя).</w:t>
      </w:r>
    </w:p>
    <w:p w:rsidR="00FB7AF0" w:rsidRDefault="00FB7A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AF0" w:rsidRDefault="00B677C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оформления привлечения работника к работе в выходные и нерабочие праздничные дни</w:t>
      </w:r>
    </w:p>
    <w:p w:rsidR="00FB7AF0" w:rsidRDefault="00FB7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AF0" w:rsidRDefault="00B677CF">
      <w:pPr>
        <w:pStyle w:val="ad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По инициативе работодателя (Учредителя):</w:t>
      </w:r>
    </w:p>
    <w:p w:rsidR="00FB7AF0" w:rsidRDefault="00B677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Работодатель (Учредитель) уведомляет работника о необходимости и причинах привлечения в выходной и нерабочий праздничный день, знакомит его с правом отказаться, получает письменное согласие сотрудника (ч. 2 ст. 113 ТК РФ). </w:t>
      </w:r>
    </w:p>
    <w:p w:rsidR="00FB7AF0" w:rsidRDefault="00B677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Законодательно установленной формы уведомления о привлечении к работе в выходной и нерабочий праздничный день нет. Такое уведомление можно составить в произвольной форме, указав в нем ФИО и должность работника, причину выхода на работу в выходной и нерабочий праздничный день, дату и время работы. Уведомление необходимо, чтобы:</w:t>
      </w:r>
    </w:p>
    <w:p w:rsidR="00FB7AF0" w:rsidRDefault="00B677C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проинформировать работника о необходимости работы в выходной и нерабочий праздничный день;</w:t>
      </w:r>
    </w:p>
    <w:p w:rsidR="00FB7AF0" w:rsidRDefault="00B677C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уведомить о праве работника отказаться от работы в выходной и нерабочий праздничный день.</w:t>
      </w:r>
    </w:p>
    <w:p w:rsidR="00FB7AF0" w:rsidRDefault="00B677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такого уведомления можно сразу получить согласие работника на работу в выходной и нерабочий праздничный день и зафиксировать, что хочет получить работник за работу в выходной и нерабочий праздничный день – двойную оплату или другой день отдыха.</w:t>
      </w:r>
    </w:p>
    <w:p w:rsidR="00FB7AF0" w:rsidRDefault="00B677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составляется в 2-х экземплярах (по одному экземпляру – для работника и для работодателя (Учредителя).</w:t>
      </w:r>
    </w:p>
    <w:p w:rsidR="00FB7AF0" w:rsidRDefault="00B677C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 Учредитель издает </w:t>
      </w:r>
      <w:r>
        <w:rPr>
          <w:rFonts w:ascii="Times New Roman" w:hAnsi="Times New Roman" w:cs="Times New Roman"/>
          <w:sz w:val="28"/>
          <w:szCs w:val="28"/>
        </w:rPr>
        <w:t>письменное распоряжение (приказ) работодателя о привлечении сотрудника к работе в выходные и нерабочие праздничные дни (</w:t>
      </w:r>
      <w:hyperlink r:id="rId12">
        <w:r>
          <w:rPr>
            <w:rFonts w:ascii="Times New Roman" w:hAnsi="Times New Roman" w:cs="Times New Roman"/>
            <w:sz w:val="28"/>
            <w:szCs w:val="28"/>
          </w:rPr>
          <w:t>ч. 8 ст. 113</w:t>
        </w:r>
      </w:hyperlink>
      <w:r>
        <w:rPr>
          <w:rFonts w:ascii="Times New Roman" w:hAnsi="Times New Roman" w:cs="Times New Roman"/>
          <w:sz w:val="28"/>
          <w:szCs w:val="28"/>
        </w:rPr>
        <w:t> ТК РФ). В приказе необходимо указать ФИО и должность работника, те дни, в которые он должен выйти на работу, а также место назначения в случае командирования работника выполнения трудовых функций с согласованными условиями компенсации за работу в выходные и праздничные дни. Важно, что ТК РФ не предусмотрена возможность направления подобного распоряжения в устной форме.</w:t>
      </w:r>
    </w:p>
    <w:p w:rsidR="00FB7AF0" w:rsidRDefault="00FB7A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AF0" w:rsidRDefault="00B677CF">
      <w:pPr>
        <w:pStyle w:val="ad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По инициативе руководителя подведомственного учреждения (автономной некоммерческой организации):</w:t>
      </w:r>
    </w:p>
    <w:p w:rsidR="00FB7AF0" w:rsidRDefault="00B677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Руководитель подведомственного учреждения (автономной некоммерческой организации) направляет в адрес Учредителя служебную (докладную) записку по форме приложения к настоящей Памятке, в которой излагает обоснование необходимости выполнения им трудовых функций в выходные и нерабочие праздничные дни, в том числе при направлении его в </w:t>
      </w:r>
      <w:r>
        <w:rPr>
          <w:rFonts w:ascii="Times New Roman" w:hAnsi="Times New Roman" w:cs="Times New Roman"/>
          <w:sz w:val="28"/>
          <w:szCs w:val="28"/>
        </w:rPr>
        <w:lastRenderedPageBreak/>
        <w:t>командировку, с указанием дней и места их осуществления. Учредитель согласовывает (визирует) представленную служебную (докладную) записку.</w:t>
      </w:r>
    </w:p>
    <w:p w:rsidR="00FB7AF0" w:rsidRDefault="00B677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Учредителем издается распоряжение (приказ) работодателя о привлечении руководителя подведомственного учреждения (автономной некоммерческой организации) к работе в выходные и нерабочие праздничные дни (</w:t>
      </w:r>
      <w:hyperlink r:id="rId13">
        <w:r>
          <w:rPr>
            <w:rFonts w:ascii="Times New Roman" w:hAnsi="Times New Roman" w:cs="Times New Roman"/>
            <w:sz w:val="28"/>
            <w:szCs w:val="28"/>
          </w:rPr>
          <w:t>ч. 8 ст. 113</w:t>
        </w:r>
      </w:hyperlink>
      <w:r>
        <w:rPr>
          <w:rFonts w:ascii="Times New Roman" w:hAnsi="Times New Roman" w:cs="Times New Roman"/>
          <w:sz w:val="28"/>
          <w:szCs w:val="28"/>
        </w:rPr>
        <w:t> ТК РФ). В приказе необходимо указать ФИО и должность работника, те дни, в которые он должен выйти на работу и виды компенсации за работу в выходной или нерабочий праздничный день (повышенная оплата или дополнительное время отдыха).</w:t>
      </w:r>
    </w:p>
    <w:p w:rsidR="00FB7AF0" w:rsidRDefault="00FB7AF0">
      <w:pPr>
        <w:rPr>
          <w:rFonts w:ascii="Times New Roman" w:hAnsi="Times New Roman" w:cs="Times New Roman"/>
          <w:sz w:val="28"/>
          <w:szCs w:val="28"/>
        </w:rPr>
      </w:pPr>
    </w:p>
    <w:p w:rsidR="00FB7AF0" w:rsidRDefault="00FB7AF0">
      <w:pPr>
        <w:rPr>
          <w:rFonts w:ascii="Times New Roman" w:hAnsi="Times New Roman" w:cs="Times New Roman"/>
          <w:sz w:val="28"/>
          <w:szCs w:val="28"/>
        </w:rPr>
      </w:pPr>
    </w:p>
    <w:p w:rsidR="00FB7AF0" w:rsidRDefault="00B677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FB7AF0" w:rsidRDefault="00FB7A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AF0" w:rsidRDefault="00FB7A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AF0" w:rsidRDefault="00FB7A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AF0" w:rsidRDefault="00FB7A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AF0" w:rsidRDefault="00FB7A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AF0" w:rsidRDefault="00FB7A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AF0" w:rsidRDefault="00FB7A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AF0" w:rsidRDefault="00FB7A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AF0" w:rsidRDefault="00FB7A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AF0" w:rsidRDefault="00FB7A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AF0" w:rsidRDefault="00FB7A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AF0" w:rsidRDefault="00FB7A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AF0" w:rsidRDefault="00FB7A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AF0" w:rsidRDefault="00FB7A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AF0" w:rsidRDefault="00FB7A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AF0" w:rsidRDefault="00FB7A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AF0" w:rsidRDefault="00FB7A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AF0" w:rsidRDefault="00FB7A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AF0" w:rsidRDefault="00FB7A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AF0" w:rsidRDefault="00FB7A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AF0" w:rsidRDefault="00FB7A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AF0" w:rsidRDefault="00FB7A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AF0" w:rsidRDefault="00FB7A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AF0" w:rsidRDefault="00FB7A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AF0" w:rsidRDefault="00FB7A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AF0" w:rsidRDefault="00FB7A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AF0" w:rsidRDefault="00FB7A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AF0" w:rsidRDefault="00FB7A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AF0" w:rsidRDefault="00FB7A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AF0" w:rsidRDefault="00FB7AF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83EAF" w:rsidRDefault="00183EA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7AF0" w:rsidRDefault="00FB7A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AF0" w:rsidRDefault="00B677CF">
      <w:pPr>
        <w:pStyle w:val="ConsPlusNormal"/>
        <w:ind w:left="75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B7AF0" w:rsidRDefault="00B677CF">
      <w:pPr>
        <w:pStyle w:val="ConsPlusNormal"/>
        <w:ind w:left="75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Памятке</w:t>
      </w:r>
    </w:p>
    <w:p w:rsidR="00FB7AF0" w:rsidRDefault="00FB7AF0">
      <w:pPr>
        <w:pStyle w:val="ConsPlusNormal"/>
        <w:ind w:left="7513"/>
        <w:jc w:val="center"/>
        <w:rPr>
          <w:rFonts w:ascii="Times New Roman" w:hAnsi="Times New Roman" w:cs="Times New Roman"/>
          <w:sz w:val="28"/>
          <w:szCs w:val="28"/>
        </w:rPr>
      </w:pPr>
    </w:p>
    <w:p w:rsidR="00FB7AF0" w:rsidRDefault="00FB7AF0">
      <w:pPr>
        <w:pStyle w:val="ConsPlusNormal"/>
        <w:ind w:left="751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9813" w:type="dxa"/>
        <w:tblInd w:w="108" w:type="dxa"/>
        <w:tblLook w:val="04A0" w:firstRow="1" w:lastRow="0" w:firstColumn="1" w:lastColumn="0" w:noHBand="0" w:noVBand="1"/>
      </w:tblPr>
      <w:tblGrid>
        <w:gridCol w:w="5043"/>
        <w:gridCol w:w="4770"/>
      </w:tblGrid>
      <w:tr w:rsidR="00FB7AF0">
        <w:trPr>
          <w:trHeight w:val="2278"/>
        </w:trPr>
        <w:tc>
          <w:tcPr>
            <w:tcW w:w="5042" w:type="dxa"/>
            <w:tcBorders>
              <w:top w:val="nil"/>
              <w:left w:val="nil"/>
              <w:right w:val="nil"/>
            </w:tcBorders>
          </w:tcPr>
          <w:p w:rsidR="00FB7AF0" w:rsidRDefault="00B677CF">
            <w:pPr>
              <w:ind w:right="3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учреждения</w:t>
            </w:r>
          </w:p>
          <w:p w:rsidR="00FB7AF0" w:rsidRDefault="00FB7AF0">
            <w:pPr>
              <w:ind w:right="3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7AF0" w:rsidRDefault="00FB7AF0">
            <w:pPr>
              <w:ind w:right="3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7AF0" w:rsidRDefault="00FB7AF0">
            <w:pPr>
              <w:ind w:right="3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7AF0" w:rsidRDefault="00FB7AF0">
            <w:pPr>
              <w:ind w:right="3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7AF0" w:rsidRDefault="00FB7AF0">
            <w:pPr>
              <w:ind w:right="3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7AF0" w:rsidRDefault="00FB7AF0">
            <w:pPr>
              <w:ind w:right="3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7AF0" w:rsidRDefault="00FB7AF0">
            <w:pPr>
              <w:widowControl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right w:val="nil"/>
            </w:tcBorders>
          </w:tcPr>
          <w:p w:rsidR="00FB7AF0" w:rsidRDefault="00B677CF">
            <w:pPr>
              <w:ind w:right="37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Должность руководителя областного исполнительного органа государственной власти Новосибирской области</w:t>
            </w:r>
          </w:p>
          <w:p w:rsidR="00FB7AF0" w:rsidRDefault="00FB7AF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AF0" w:rsidRDefault="00B677C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  <w:p w:rsidR="00FB7AF0" w:rsidRDefault="00FB7AF0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7AF0">
        <w:trPr>
          <w:trHeight w:val="296"/>
        </w:trPr>
        <w:tc>
          <w:tcPr>
            <w:tcW w:w="5042" w:type="dxa"/>
            <w:tcBorders>
              <w:left w:val="nil"/>
              <w:bottom w:val="nil"/>
              <w:right w:val="nil"/>
            </w:tcBorders>
          </w:tcPr>
          <w:p w:rsidR="00FB7AF0" w:rsidRDefault="00B677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СЛУЖЕБНАЯ (ДОКЛАДНАЯ) ЗАПИСКА</w:t>
            </w:r>
          </w:p>
        </w:tc>
        <w:tc>
          <w:tcPr>
            <w:tcW w:w="4770" w:type="dxa"/>
            <w:tcBorders>
              <w:left w:val="nil"/>
              <w:bottom w:val="nil"/>
              <w:right w:val="nil"/>
            </w:tcBorders>
          </w:tcPr>
          <w:p w:rsidR="00FB7AF0" w:rsidRDefault="00FB7AF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AF0">
        <w:trPr>
          <w:trHeight w:val="371"/>
        </w:trPr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FB7AF0" w:rsidRDefault="00B677CF">
            <w:pPr>
              <w:ind w:right="37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 № ________</w:t>
            </w:r>
          </w:p>
          <w:p w:rsidR="00FB7AF0" w:rsidRDefault="00FB7AF0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FB7AF0" w:rsidRDefault="00FB7AF0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B7AF0" w:rsidRDefault="00B677C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привлечении к работе </w:t>
      </w:r>
    </w:p>
    <w:p w:rsidR="00FB7AF0" w:rsidRDefault="00B677C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выходной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i/>
          <w:sz w:val="28"/>
          <w:szCs w:val="28"/>
        </w:rPr>
        <w:t xml:space="preserve">нерабочий праздничный </w:t>
      </w:r>
      <w:r>
        <w:rPr>
          <w:rFonts w:ascii="Times New Roman" w:hAnsi="Times New Roman" w:cs="Times New Roman"/>
          <w:sz w:val="28"/>
          <w:szCs w:val="28"/>
        </w:rPr>
        <w:t>день</w:t>
      </w:r>
    </w:p>
    <w:p w:rsidR="00FB7AF0" w:rsidRDefault="00FB7AF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B7AF0" w:rsidRDefault="00FB7AF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B7AF0" w:rsidRDefault="00B677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</w:t>
      </w:r>
      <w:r>
        <w:rPr>
          <w:rFonts w:ascii="Times New Roman" w:hAnsi="Times New Roman" w:cs="Times New Roman"/>
          <w:i/>
          <w:sz w:val="28"/>
          <w:szCs w:val="28"/>
        </w:rPr>
        <w:t>Имя Отчество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B7AF0" w:rsidRDefault="00FB7AF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B7AF0" w:rsidRDefault="00B677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____________ </w:t>
      </w:r>
      <w:r>
        <w:rPr>
          <w:rFonts w:ascii="Times New Roman" w:hAnsi="Times New Roman" w:cs="Times New Roman"/>
          <w:i/>
          <w:sz w:val="28"/>
          <w:szCs w:val="28"/>
        </w:rPr>
        <w:t>(указать причину, по которой необходимо привлечь к работе в выходной / нерабочий праздничный день),</w:t>
      </w:r>
      <w:r>
        <w:rPr>
          <w:rFonts w:ascii="Times New Roman" w:hAnsi="Times New Roman" w:cs="Times New Roman"/>
          <w:sz w:val="28"/>
          <w:szCs w:val="28"/>
        </w:rPr>
        <w:t xml:space="preserve"> прошу в соответствии со статьей 113 Трудового кодекса РФ привлечь меня к работе в </w:t>
      </w:r>
      <w:r>
        <w:rPr>
          <w:rFonts w:ascii="Times New Roman" w:hAnsi="Times New Roman" w:cs="Times New Roman"/>
          <w:i/>
          <w:sz w:val="28"/>
          <w:szCs w:val="28"/>
        </w:rPr>
        <w:t xml:space="preserve">выходной / нерабочий праздничный </w:t>
      </w:r>
      <w:r>
        <w:rPr>
          <w:rFonts w:ascii="Times New Roman" w:hAnsi="Times New Roman" w:cs="Times New Roman"/>
          <w:sz w:val="28"/>
          <w:szCs w:val="28"/>
        </w:rPr>
        <w:t>день «__» ____________ 20 __ г. с __ час:__мин. на __ (</w:t>
      </w:r>
      <w:r>
        <w:rPr>
          <w:rFonts w:ascii="Times New Roman" w:hAnsi="Times New Roman" w:cs="Times New Roman"/>
          <w:i/>
          <w:sz w:val="28"/>
          <w:szCs w:val="28"/>
        </w:rPr>
        <w:t>указать количество</w:t>
      </w:r>
      <w:r>
        <w:rPr>
          <w:rFonts w:ascii="Times New Roman" w:hAnsi="Times New Roman" w:cs="Times New Roman"/>
          <w:sz w:val="28"/>
          <w:szCs w:val="28"/>
        </w:rPr>
        <w:t>) рабочих часов.</w:t>
      </w:r>
    </w:p>
    <w:p w:rsidR="00FB7AF0" w:rsidRDefault="00B677C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Вариант 1. </w:t>
      </w:r>
      <w:r>
        <w:rPr>
          <w:rFonts w:ascii="Times New Roman" w:hAnsi="Times New Roman" w:cs="Times New Roman"/>
          <w:sz w:val="28"/>
          <w:szCs w:val="28"/>
        </w:rPr>
        <w:t xml:space="preserve">Оплату труда в </w:t>
      </w:r>
      <w:r>
        <w:rPr>
          <w:rFonts w:ascii="Times New Roman" w:hAnsi="Times New Roman" w:cs="Times New Roman"/>
          <w:i/>
          <w:sz w:val="28"/>
          <w:szCs w:val="28"/>
        </w:rPr>
        <w:t xml:space="preserve">выходной / нерабочий праздничный </w:t>
      </w:r>
      <w:r>
        <w:rPr>
          <w:rFonts w:ascii="Times New Roman" w:hAnsi="Times New Roman" w:cs="Times New Roman"/>
          <w:sz w:val="28"/>
          <w:szCs w:val="28"/>
        </w:rPr>
        <w:t xml:space="preserve">день «__» ______________ 20 __ г. прошу произвести в двойном размере. От предоставления другого дня отдыха за работу в </w:t>
      </w:r>
      <w:r>
        <w:rPr>
          <w:rFonts w:ascii="Times New Roman" w:hAnsi="Times New Roman" w:cs="Times New Roman"/>
          <w:i/>
          <w:sz w:val="28"/>
          <w:szCs w:val="28"/>
        </w:rPr>
        <w:t>выходной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i/>
          <w:sz w:val="28"/>
          <w:szCs w:val="28"/>
        </w:rPr>
        <w:t xml:space="preserve">нерабочий праздничный </w:t>
      </w:r>
      <w:r>
        <w:rPr>
          <w:rFonts w:ascii="Times New Roman" w:hAnsi="Times New Roman" w:cs="Times New Roman"/>
          <w:sz w:val="28"/>
          <w:szCs w:val="28"/>
        </w:rPr>
        <w:t>день отказываюсь.</w:t>
      </w:r>
    </w:p>
    <w:p w:rsidR="00FB7AF0" w:rsidRDefault="00FB7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AF0" w:rsidRDefault="00B677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2.</w:t>
      </w:r>
      <w:r>
        <w:rPr>
          <w:rFonts w:ascii="Times New Roman" w:hAnsi="Times New Roman" w:cs="Times New Roman"/>
          <w:sz w:val="28"/>
          <w:szCs w:val="28"/>
        </w:rPr>
        <w:t xml:space="preserve"> Оплату труда в </w:t>
      </w:r>
      <w:r>
        <w:rPr>
          <w:rFonts w:ascii="Times New Roman" w:hAnsi="Times New Roman" w:cs="Times New Roman"/>
          <w:i/>
          <w:sz w:val="28"/>
          <w:szCs w:val="28"/>
        </w:rPr>
        <w:t>выходной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i/>
          <w:sz w:val="28"/>
          <w:szCs w:val="28"/>
        </w:rPr>
        <w:t>нерабочий праздничный</w:t>
      </w:r>
      <w:r>
        <w:rPr>
          <w:rFonts w:ascii="Times New Roman" w:hAnsi="Times New Roman" w:cs="Times New Roman"/>
          <w:sz w:val="28"/>
          <w:szCs w:val="28"/>
        </w:rPr>
        <w:t xml:space="preserve"> день «__» ______________ 20 __ г. прошу произвести в одинарном размере и предоставить другой день отдыха «__» ______________ 20 __ г.</w:t>
      </w:r>
    </w:p>
    <w:p w:rsidR="00FB7AF0" w:rsidRDefault="00FB7A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F0" w:rsidRDefault="00FB7A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F0" w:rsidRDefault="00FB7A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AF0" w:rsidRDefault="00B677CF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Должность </w:t>
      </w:r>
    </w:p>
    <w:p w:rsidR="00FB7AF0" w:rsidRDefault="00B677CF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 учреждения             ____________________                   </w:t>
      </w:r>
      <w:r>
        <w:rPr>
          <w:rFonts w:ascii="Times New Roman" w:hAnsi="Times New Roman" w:cs="Times New Roman"/>
          <w:sz w:val="28"/>
          <w:szCs w:val="28"/>
        </w:rPr>
        <w:t>И.О. Фамилия</w:t>
      </w:r>
    </w:p>
    <w:p w:rsidR="00FB7AF0" w:rsidRDefault="00B677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(подпись)</w:t>
      </w:r>
    </w:p>
    <w:p w:rsidR="00FB7AF0" w:rsidRDefault="00FB7AF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B7AF0">
      <w:headerReference w:type="default" r:id="rId14"/>
      <w:pgSz w:w="11906" w:h="16838"/>
      <w:pgMar w:top="1134" w:right="567" w:bottom="1134" w:left="1418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E2E" w:rsidRDefault="00156E2E">
      <w:r>
        <w:separator/>
      </w:r>
    </w:p>
  </w:endnote>
  <w:endnote w:type="continuationSeparator" w:id="0">
    <w:p w:rsidR="00156E2E" w:rsidRDefault="0015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E2E" w:rsidRDefault="00156E2E">
      <w:r>
        <w:separator/>
      </w:r>
    </w:p>
  </w:footnote>
  <w:footnote w:type="continuationSeparator" w:id="0">
    <w:p w:rsidR="00156E2E" w:rsidRDefault="00156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527930"/>
      <w:docPartObj>
        <w:docPartGallery w:val="Page Numbers (Top of Page)"/>
        <w:docPartUnique/>
      </w:docPartObj>
    </w:sdtPr>
    <w:sdtEndPr/>
    <w:sdtContent>
      <w:p w:rsidR="00FB7AF0" w:rsidRDefault="00B677CF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83EAF">
          <w:rPr>
            <w:noProof/>
          </w:rPr>
          <w:t>2</w:t>
        </w:r>
        <w:r>
          <w:fldChar w:fldCharType="end"/>
        </w:r>
      </w:p>
    </w:sdtContent>
  </w:sdt>
  <w:p w:rsidR="00FB7AF0" w:rsidRDefault="00FB7AF0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F0"/>
    <w:rsid w:val="00156E2E"/>
    <w:rsid w:val="00183EAF"/>
    <w:rsid w:val="00B677CF"/>
    <w:rsid w:val="00CC3FC2"/>
    <w:rsid w:val="00FB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7B87"/>
  <w15:docId w15:val="{407FFB03-0CB6-472F-A9D8-734BD449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346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623D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qFormat/>
    <w:rsid w:val="000D5C5C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0D5C5C"/>
    <w:rPr>
      <w:rFonts w:ascii="Calibri" w:hAnsi="Calibri" w:cs="Calibri"/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0D5C5C"/>
    <w:rPr>
      <w:rFonts w:ascii="Calibri" w:hAnsi="Calibri" w:cs="Calibri"/>
      <w:b/>
      <w:bCs/>
      <w:sz w:val="20"/>
      <w:szCs w:val="20"/>
    </w:rPr>
  </w:style>
  <w:style w:type="character" w:customStyle="1" w:styleId="a7">
    <w:name w:val="Текст выноски Знак"/>
    <w:basedOn w:val="a0"/>
    <w:uiPriority w:val="99"/>
    <w:semiHidden/>
    <w:qFormat/>
    <w:rsid w:val="000D5C5C"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uiPriority w:val="99"/>
    <w:qFormat/>
    <w:rsid w:val="00881AD6"/>
    <w:rPr>
      <w:rFonts w:ascii="Calibri" w:hAnsi="Calibri" w:cs="Calibri"/>
    </w:rPr>
  </w:style>
  <w:style w:type="character" w:customStyle="1" w:styleId="a9">
    <w:name w:val="Нижний колонтитул Знак"/>
    <w:basedOn w:val="a0"/>
    <w:uiPriority w:val="99"/>
    <w:qFormat/>
    <w:rsid w:val="00881AD6"/>
    <w:rPr>
      <w:rFonts w:ascii="Calibri" w:hAnsi="Calibri" w:cs="Calibri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9A0346"/>
    <w:pPr>
      <w:ind w:left="720"/>
      <w:contextualSpacing/>
    </w:pPr>
  </w:style>
  <w:style w:type="paragraph" w:styleId="ae">
    <w:name w:val="annotation text"/>
    <w:basedOn w:val="a"/>
    <w:uiPriority w:val="99"/>
    <w:semiHidden/>
    <w:unhideWhenUsed/>
    <w:qFormat/>
    <w:rsid w:val="000D5C5C"/>
    <w:rPr>
      <w:sz w:val="20"/>
      <w:szCs w:val="20"/>
    </w:rPr>
  </w:style>
  <w:style w:type="paragraph" w:styleId="af">
    <w:name w:val="annotation subject"/>
    <w:basedOn w:val="ae"/>
    <w:next w:val="ae"/>
    <w:uiPriority w:val="99"/>
    <w:semiHidden/>
    <w:unhideWhenUsed/>
    <w:qFormat/>
    <w:rsid w:val="000D5C5C"/>
    <w:rPr>
      <w:b/>
      <w:bCs/>
    </w:rPr>
  </w:style>
  <w:style w:type="paragraph" w:styleId="af0">
    <w:name w:val="Balloon Text"/>
    <w:basedOn w:val="a"/>
    <w:uiPriority w:val="99"/>
    <w:semiHidden/>
    <w:unhideWhenUsed/>
    <w:qFormat/>
    <w:rsid w:val="000D5C5C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rsid w:val="00881AD6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881AD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942DA"/>
    <w:pPr>
      <w:widowControl w:val="0"/>
    </w:pPr>
    <w:rPr>
      <w:rFonts w:eastAsia="Times New Roman" w:cs="Calibri"/>
      <w:szCs w:val="20"/>
      <w:lang w:eastAsia="ru-RU"/>
    </w:rPr>
  </w:style>
  <w:style w:type="table" w:styleId="af3">
    <w:name w:val="Table Grid"/>
    <w:basedOn w:val="a1"/>
    <w:uiPriority w:val="59"/>
    <w:rsid w:val="0029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34330A8D4E7380475F37A84A63FB901C98E39A2E818251559A3AF4FF383E87A803420DBCE2EB3747913E507A304D204022F0CAA7iEP6K" TargetMode="External"/><Relationship Id="rId13" Type="http://schemas.openxmlformats.org/officeDocument/2006/relationships/hyperlink" Target="https://login.consultant.ru/link/?req=doc&amp;base=LAW&amp;n=201079&amp;dst=6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34330A8D4E7380475F37A84A63FB901C98E39A2E818251559A3AF4FF383E87A803420DBCE2EB3747913E507A304D204022F0CAA7iEP6K" TargetMode="External"/><Relationship Id="rId12" Type="http://schemas.openxmlformats.org/officeDocument/2006/relationships/hyperlink" Target="https://login.consultant.ru/link/?req=doc&amp;base=LAW&amp;n=201079&amp;dst=60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534330A8D4E7380475F37A84A63FB901C98E39A2E818251559A3AF4FF383E87A803420ABCE3E16842842F087433533E4539ECC8A5E6iCPB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534330A8D4E7380475F37A84A63FB901C98E39A2E818251559A3AF4FF383E87A803420ABCE4E66016DE3F0C3D655E234522F2CFBBE6C908i0PB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534330A8D4E7380475F37A84A63FB901C98E39A2E818251559A3AF4FF383E87A803420ABCE3E06842842F087433533E4539ECC8A5E6iCPB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Бугровская Арина Сергеевна</dc:creator>
  <dc:description/>
  <cp:lastModifiedBy>Карпова Ирина Юрьевна</cp:lastModifiedBy>
  <cp:revision>2</cp:revision>
  <cp:lastPrinted>2022-06-10T02:26:00Z</cp:lastPrinted>
  <dcterms:created xsi:type="dcterms:W3CDTF">2023-03-31T07:32:00Z</dcterms:created>
  <dcterms:modified xsi:type="dcterms:W3CDTF">2023-03-31T07:32:00Z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