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B5" w:rsidRDefault="001B16C9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360045</wp:posOffset>
            </wp:positionV>
            <wp:extent cx="311086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9B200AC" wp14:editId="7CD0AA36">
            <wp:extent cx="561975" cy="657225"/>
            <wp:effectExtent l="0" t="0" r="0" b="0"/>
            <wp:docPr id="3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6B5" w:rsidRDefault="00D806B5">
      <w:pPr>
        <w:jc w:val="center"/>
        <w:rPr>
          <w:sz w:val="27"/>
          <w:szCs w:val="27"/>
        </w:rPr>
      </w:pPr>
    </w:p>
    <w:p w:rsidR="00D806B5" w:rsidRDefault="001B16C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КОНТРОЛЬНОЕ УПРАВЛЕНИЕ НОВОСИБИРСКОЙ ОБЛАСТИ</w:t>
      </w:r>
    </w:p>
    <w:p w:rsidR="00D806B5" w:rsidRDefault="00D806B5">
      <w:pPr>
        <w:jc w:val="center"/>
        <w:rPr>
          <w:sz w:val="27"/>
          <w:szCs w:val="27"/>
        </w:rPr>
      </w:pPr>
    </w:p>
    <w:p w:rsidR="00D806B5" w:rsidRDefault="001B16C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:rsidR="00D806B5" w:rsidRDefault="00D806B5">
      <w:pPr>
        <w:jc w:val="center"/>
        <w:rPr>
          <w:sz w:val="27"/>
          <w:szCs w:val="27"/>
        </w:rPr>
      </w:pPr>
    </w:p>
    <w:tbl>
      <w:tblPr>
        <w:tblStyle w:val="aff2"/>
        <w:tblW w:w="99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62"/>
        <w:gridCol w:w="4960"/>
      </w:tblGrid>
      <w:tr w:rsidR="00D806B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806B5" w:rsidRDefault="001B16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___.09.2025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D806B5" w:rsidRDefault="001B16C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 ____</w:t>
            </w:r>
          </w:p>
        </w:tc>
      </w:tr>
    </w:tbl>
    <w:p w:rsidR="00D806B5" w:rsidRDefault="001B16C9">
      <w:pPr>
        <w:jc w:val="center"/>
        <w:rPr>
          <w:sz w:val="23"/>
          <w:szCs w:val="23"/>
        </w:rPr>
      </w:pPr>
      <w:r>
        <w:rPr>
          <w:sz w:val="23"/>
          <w:szCs w:val="23"/>
        </w:rPr>
        <w:t>г. Новосибирск</w:t>
      </w:r>
    </w:p>
    <w:p w:rsidR="00D806B5" w:rsidRDefault="00D806B5">
      <w:pPr>
        <w:jc w:val="center"/>
        <w:rPr>
          <w:sz w:val="28"/>
          <w:szCs w:val="28"/>
        </w:rPr>
      </w:pPr>
    </w:p>
    <w:p w:rsidR="00D806B5" w:rsidRDefault="001B16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годовом плане проведения проверок</w:t>
      </w:r>
    </w:p>
    <w:p w:rsidR="00D806B5" w:rsidRDefault="001B16C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на 2026 год</w:t>
      </w:r>
    </w:p>
    <w:p w:rsidR="00D806B5" w:rsidRDefault="00D806B5">
      <w:pPr>
        <w:rPr>
          <w:sz w:val="28"/>
          <w:szCs w:val="28"/>
        </w:rPr>
      </w:pPr>
    </w:p>
    <w:p w:rsidR="00D806B5" w:rsidRDefault="00D806B5">
      <w:pPr>
        <w:rPr>
          <w:sz w:val="28"/>
          <w:szCs w:val="28"/>
        </w:rPr>
      </w:pPr>
    </w:p>
    <w:p w:rsidR="00D806B5" w:rsidRDefault="001B16C9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В соответствии с пунктом 5.1 статьи 32 Федерального закона от 12.01.1996   № 7-ФЗ «О некоммерческих организациях», пунктами 9, 9.1 </w:t>
      </w:r>
      <w:r>
        <w:rPr>
          <w:rFonts w:eastAsia="Calibri"/>
          <w:sz w:val="28"/>
          <w:szCs w:val="28"/>
        </w:rPr>
        <w:t>Порядка осуществления областными исполнительными органами Новосибирской области контроля за деятельностью подведомственных го</w:t>
      </w:r>
      <w:r>
        <w:rPr>
          <w:rFonts w:eastAsia="Calibri"/>
          <w:sz w:val="28"/>
          <w:szCs w:val="28"/>
        </w:rPr>
        <w:t>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области, утвержденного постановлением Правительства Новосибирской области от 21.03.2017</w:t>
      </w:r>
      <w:r>
        <w:rPr>
          <w:rFonts w:eastAsia="Calibri"/>
          <w:sz w:val="28"/>
          <w:szCs w:val="28"/>
        </w:rPr>
        <w:t xml:space="preserve"> № 112-п,  </w:t>
      </w:r>
      <w:r>
        <w:rPr>
          <w:b/>
          <w:bCs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:rsidR="00D806B5" w:rsidRDefault="001B16C9">
      <w:pPr>
        <w:ind w:firstLine="709"/>
        <w:jc w:val="both"/>
        <w:rPr>
          <w:b/>
          <w:bCs/>
          <w:sz w:val="32"/>
          <w:szCs w:val="32"/>
        </w:rPr>
      </w:pPr>
      <w:r>
        <w:rPr>
          <w:sz w:val="28"/>
          <w:szCs w:val="28"/>
          <w:lang w:eastAsia="en-US"/>
        </w:rPr>
        <w:t>1. </w:t>
      </w:r>
      <w:bookmarkStart w:id="0" w:name="undefined"/>
      <w:bookmarkEnd w:id="0"/>
      <w:r>
        <w:rPr>
          <w:sz w:val="28"/>
          <w:szCs w:val="28"/>
          <w:lang w:eastAsia="en-US"/>
        </w:rPr>
        <w:t>Утвердить прилагаемый годовой план проведения проверок</w:t>
      </w:r>
      <w:r>
        <w:rPr>
          <w:rFonts w:eastAsia="Calibri"/>
          <w:sz w:val="28"/>
          <w:szCs w:val="28"/>
        </w:rPr>
        <w:t xml:space="preserve"> на 2026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(далее – План).</w:t>
      </w:r>
    </w:p>
    <w:p w:rsidR="00D806B5" w:rsidRDefault="001B16C9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  <w:lang w:eastAsia="en-US"/>
        </w:rPr>
        <w:t>2. Не позднее пяти рабочих дней со дня утверждения Плана:</w:t>
      </w:r>
    </w:p>
    <w:p w:rsidR="00D806B5" w:rsidRDefault="001B16C9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  <w:lang w:eastAsia="en-US"/>
        </w:rPr>
        <w:t xml:space="preserve">1) отделу организационно-правовой и кадровой работы контрольного управления </w:t>
      </w:r>
      <w:r>
        <w:rPr>
          <w:sz w:val="28"/>
          <w:szCs w:val="28"/>
          <w:lang w:eastAsia="en-US"/>
        </w:rPr>
        <w:t>Новосибирской области обеспечить размещение Плана на официальном сайте контрольного управления Новосибирской области в информационно-телекоммуникационной сети «Интернет»;</w:t>
      </w:r>
    </w:p>
    <w:p w:rsidR="00D806B5" w:rsidRDefault="001B16C9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  <w:lang w:eastAsia="en-US"/>
        </w:rPr>
        <w:t xml:space="preserve">2) отделу финансового контроля контрольного управления Новосибирской области </w:t>
      </w:r>
      <w:r>
        <w:rPr>
          <w:sz w:val="28"/>
          <w:szCs w:val="28"/>
          <w:lang w:eastAsia="en-US"/>
        </w:rPr>
        <w:t>обеспечить размещение Плана в государственной информационной системе Новосибирской области «Контроль».</w:t>
      </w:r>
    </w:p>
    <w:p w:rsidR="00D806B5" w:rsidRDefault="001B16C9">
      <w:pPr>
        <w:ind w:firstLine="709"/>
        <w:jc w:val="both"/>
        <w:rPr>
          <w:sz w:val="32"/>
          <w:szCs w:val="32"/>
        </w:rPr>
      </w:pPr>
      <w:bookmarkStart w:id="1" w:name="Par4"/>
      <w:bookmarkStart w:id="2" w:name="Par3"/>
      <w:bookmarkEnd w:id="1"/>
      <w:bookmarkEnd w:id="2"/>
      <w:r>
        <w:rPr>
          <w:sz w:val="28"/>
          <w:szCs w:val="28"/>
          <w:lang w:eastAsia="en-US"/>
        </w:rPr>
        <w:t xml:space="preserve">3. Контроль за </w:t>
      </w:r>
      <w:bookmarkStart w:id="3" w:name="Par14"/>
      <w:bookmarkEnd w:id="3"/>
      <w:r>
        <w:rPr>
          <w:sz w:val="28"/>
          <w:szCs w:val="28"/>
          <w:lang w:eastAsia="en-US"/>
        </w:rPr>
        <w:t>исполнением настоящего приказа возложить на заместителя начальника контрольного управления Новосибирской области Лещинскую К.О.</w:t>
      </w:r>
    </w:p>
    <w:p w:rsidR="00D806B5" w:rsidRDefault="00D806B5">
      <w:pPr>
        <w:jc w:val="both"/>
        <w:rPr>
          <w:sz w:val="28"/>
          <w:szCs w:val="28"/>
        </w:rPr>
      </w:pPr>
    </w:p>
    <w:p w:rsidR="00D806B5" w:rsidRDefault="00D806B5">
      <w:pPr>
        <w:tabs>
          <w:tab w:val="left" w:pos="8364"/>
        </w:tabs>
        <w:jc w:val="both"/>
        <w:rPr>
          <w:sz w:val="28"/>
          <w:szCs w:val="28"/>
        </w:rPr>
      </w:pPr>
    </w:p>
    <w:p w:rsidR="00D806B5" w:rsidRDefault="00D806B5">
      <w:pPr>
        <w:tabs>
          <w:tab w:val="left" w:pos="8364"/>
        </w:tabs>
        <w:jc w:val="both"/>
        <w:rPr>
          <w:sz w:val="28"/>
          <w:szCs w:val="28"/>
        </w:rPr>
      </w:pPr>
    </w:p>
    <w:tbl>
      <w:tblPr>
        <w:tblStyle w:val="aff2"/>
        <w:tblW w:w="100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7"/>
        <w:gridCol w:w="4536"/>
        <w:gridCol w:w="1701"/>
      </w:tblGrid>
      <w:tr w:rsidR="00D806B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806B5" w:rsidRDefault="001B16C9">
            <w:pPr>
              <w:tabs>
                <w:tab w:val="left" w:pos="8364"/>
              </w:tabs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И.о. на</w:t>
            </w:r>
            <w:r>
              <w:rPr>
                <w:sz w:val="28"/>
                <w:szCs w:val="28"/>
              </w:rPr>
              <w:t>чальника управления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806B5" w:rsidRDefault="00D806B5">
            <w:pPr>
              <w:tabs>
                <w:tab w:val="left" w:pos="8364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06B5" w:rsidRDefault="001B16C9">
            <w:pPr>
              <w:tabs>
                <w:tab w:val="left" w:pos="8364"/>
              </w:tabs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И.П. Швец</w:t>
            </w:r>
          </w:p>
        </w:tc>
      </w:tr>
    </w:tbl>
    <w:p w:rsidR="00D806B5" w:rsidRDefault="0062041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7F494FCD" wp14:editId="3A8757E5">
            <wp:simplePos x="0" y="0"/>
            <wp:positionH relativeFrom="page">
              <wp:posOffset>2454054</wp:posOffset>
            </wp:positionH>
            <wp:positionV relativeFrom="page">
              <wp:posOffset>8642350</wp:posOffset>
            </wp:positionV>
            <wp:extent cx="3251200" cy="165608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D806B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06B5" w:rsidRDefault="001B16C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О.П. Сметанина</w:t>
      </w:r>
    </w:p>
    <w:p w:rsidR="00D806B5" w:rsidRDefault="001B16C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238 64 15</w:t>
      </w:r>
    </w:p>
    <w:p w:rsidR="0062041F" w:rsidRDefault="0062041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НИЕ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  <w:sectPr w:rsidR="0062041F">
          <w:headerReference w:type="default" r:id="rId9"/>
          <w:pgSz w:w="11906" w:h="16838"/>
          <w:pgMar w:top="992" w:right="567" w:bottom="680" w:left="1417" w:header="720" w:footer="720" w:gutter="0"/>
          <w:cols w:space="720"/>
          <w:formProt w:val="0"/>
          <w:titlePg/>
          <w:docGrid w:linePitch="360" w:charSpace="8192"/>
        </w:sectPr>
      </w:pPr>
      <w:r>
        <w:rPr>
          <w:sz w:val="28"/>
          <w:szCs w:val="28"/>
        </w:rPr>
        <w:t xml:space="preserve">приказом контрольного управления 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t>приказом контрольного управления Новосибирской области</w:t>
      </w:r>
    </w:p>
    <w:p w:rsidR="0062041F" w:rsidRDefault="0062041F" w:rsidP="0062041F">
      <w:pPr>
        <w:ind w:left="10488" w:right="201"/>
        <w:jc w:val="center"/>
        <w:rPr>
          <w:sz w:val="28"/>
          <w:szCs w:val="28"/>
        </w:rPr>
      </w:pPr>
      <w:r>
        <w:rPr>
          <w:sz w:val="28"/>
          <w:szCs w:val="28"/>
        </w:rPr>
        <w:t>от ___.09.2025 № ____</w:t>
      </w:r>
    </w:p>
    <w:p w:rsidR="0062041F" w:rsidRDefault="0062041F" w:rsidP="0062041F">
      <w:pPr>
        <w:ind w:left="6372" w:right="201"/>
        <w:jc w:val="both"/>
        <w:rPr>
          <w:sz w:val="28"/>
          <w:szCs w:val="28"/>
        </w:rPr>
      </w:pPr>
    </w:p>
    <w:p w:rsidR="0062041F" w:rsidRDefault="0062041F" w:rsidP="0062041F">
      <w:pPr>
        <w:ind w:left="6372" w:right="201"/>
        <w:jc w:val="both"/>
        <w:rPr>
          <w:sz w:val="28"/>
          <w:szCs w:val="28"/>
        </w:rPr>
      </w:pPr>
    </w:p>
    <w:p w:rsidR="0062041F" w:rsidRDefault="0062041F" w:rsidP="0062041F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ГОДОВОЙ ПЛАН</w:t>
      </w:r>
    </w:p>
    <w:p w:rsidR="0062041F" w:rsidRDefault="0062041F" w:rsidP="0062041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проведения проверок на 2026 год</w:t>
      </w:r>
    </w:p>
    <w:p w:rsidR="0062041F" w:rsidRDefault="0062041F" w:rsidP="0062041F">
      <w:pPr>
        <w:jc w:val="center"/>
        <w:rPr>
          <w:sz w:val="28"/>
          <w:szCs w:val="28"/>
        </w:rPr>
      </w:pPr>
    </w:p>
    <w:tbl>
      <w:tblPr>
        <w:tblStyle w:val="aff2"/>
        <w:tblW w:w="15307" w:type="dxa"/>
        <w:tblInd w:w="572" w:type="dxa"/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4677"/>
        <w:gridCol w:w="4819"/>
      </w:tblGrid>
      <w:tr w:rsidR="0062041F" w:rsidTr="0062041F">
        <w:tc>
          <w:tcPr>
            <w:tcW w:w="709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2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Наименование проверяемого государственного учреждения Новосибирской области</w:t>
            </w:r>
          </w:p>
        </w:tc>
        <w:tc>
          <w:tcPr>
            <w:tcW w:w="4677" w:type="dxa"/>
          </w:tcPr>
          <w:p w:rsidR="0062041F" w:rsidRDefault="0062041F" w:rsidP="004D7E03">
            <w:pPr>
              <w:spacing w:after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учредителя, проводящего проверку</w:t>
            </w:r>
          </w:p>
        </w:tc>
        <w:tc>
          <w:tcPr>
            <w:tcW w:w="4819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Дата начала и окончания проведения проверки (срок проверки)</w:t>
            </w:r>
          </w:p>
        </w:tc>
      </w:tr>
      <w:tr w:rsidR="0062041F" w:rsidTr="0062041F">
        <w:tc>
          <w:tcPr>
            <w:tcW w:w="709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Государственное казенное учреждение Новосибирской области «Управление контрактной системы»</w:t>
            </w:r>
          </w:p>
        </w:tc>
        <w:tc>
          <w:tcPr>
            <w:tcW w:w="4677" w:type="dxa"/>
          </w:tcPr>
          <w:p w:rsidR="0062041F" w:rsidRDefault="0062041F" w:rsidP="004D7E03">
            <w:pPr>
              <w:spacing w:after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управление Новосибирской области</w:t>
            </w:r>
          </w:p>
        </w:tc>
        <w:tc>
          <w:tcPr>
            <w:tcW w:w="4819" w:type="dxa"/>
          </w:tcPr>
          <w:p w:rsidR="0062041F" w:rsidRDefault="0062041F" w:rsidP="004D7E03">
            <w:pPr>
              <w:spacing w:after="1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 02.11.2026 по 13.11.2026</w:t>
            </w:r>
          </w:p>
        </w:tc>
      </w:tr>
    </w:tbl>
    <w:p w:rsidR="0062041F" w:rsidRDefault="0062041F" w:rsidP="0062041F">
      <w:pPr>
        <w:jc w:val="center"/>
        <w:rPr>
          <w:sz w:val="28"/>
          <w:szCs w:val="28"/>
        </w:rPr>
      </w:pPr>
    </w:p>
    <w:p w:rsidR="0062041F" w:rsidRDefault="0062041F" w:rsidP="0062041F">
      <w:pPr>
        <w:jc w:val="center"/>
        <w:rPr>
          <w:sz w:val="28"/>
          <w:szCs w:val="28"/>
        </w:rPr>
      </w:pPr>
    </w:p>
    <w:p w:rsidR="0062041F" w:rsidRDefault="0062041F" w:rsidP="0062041F">
      <w:pPr>
        <w:jc w:val="center"/>
        <w:rPr>
          <w:sz w:val="28"/>
          <w:szCs w:val="28"/>
        </w:rPr>
      </w:pPr>
    </w:p>
    <w:p w:rsidR="0062041F" w:rsidRDefault="0062041F" w:rsidP="0062041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4" w:name="_GoBack"/>
      <w:bookmarkEnd w:id="4"/>
    </w:p>
    <w:p w:rsidR="0062041F" w:rsidRDefault="0062041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62041F" w:rsidSect="0062041F">
      <w:pgSz w:w="16838" w:h="11906" w:orient="landscape"/>
      <w:pgMar w:top="1418" w:right="992" w:bottom="567" w:left="680" w:header="720" w:footer="7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C9" w:rsidRDefault="001B16C9">
      <w:r>
        <w:separator/>
      </w:r>
    </w:p>
  </w:endnote>
  <w:endnote w:type="continuationSeparator" w:id="0">
    <w:p w:rsidR="001B16C9" w:rsidRDefault="001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C9" w:rsidRDefault="001B16C9">
      <w:r>
        <w:separator/>
      </w:r>
    </w:p>
  </w:footnote>
  <w:footnote w:type="continuationSeparator" w:id="0">
    <w:p w:rsidR="001B16C9" w:rsidRDefault="001B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B5" w:rsidRDefault="001B16C9">
    <w:pPr>
      <w:pStyle w:val="af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2041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D806B5" w:rsidRDefault="00D806B5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B5"/>
    <w:rsid w:val="001B16C9"/>
    <w:rsid w:val="0062041F"/>
    <w:rsid w:val="00D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4D1E"/>
  <w15:docId w15:val="{DD05E8EF-A140-484A-9946-CC459E5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выноски Знак"/>
    <w:link w:val="af3"/>
    <w:uiPriority w:val="99"/>
    <w:semiHidden/>
    <w:qFormat/>
    <w:rPr>
      <w:rFonts w:ascii="Tahoma" w:hAnsi="Tahoma" w:cs="Tahoma"/>
      <w:sz w:val="16"/>
      <w:szCs w:val="16"/>
      <w:lang w:val="en-US" w:eastAsia="ru-RU"/>
    </w:rPr>
  </w:style>
  <w:style w:type="character" w:customStyle="1" w:styleId="NoticeText-List">
    <w:name w:val="Основной текст Знак;Основной текст Знак Знак Знак;NoticeText-List Знак"/>
    <w:link w:val="NoticeText-List0"/>
    <w:uiPriority w:val="99"/>
    <w:qFormat/>
    <w:rPr>
      <w:rFonts w:ascii="Times New Roman" w:hAnsi="Times New Roman" w:cs="Times New Roman"/>
      <w:sz w:val="24"/>
      <w:lang w:val="en-US" w:eastAsia="ru-RU"/>
    </w:rPr>
  </w:style>
  <w:style w:type="character" w:customStyle="1" w:styleId="af4">
    <w:name w:val="Основной текст с отступом Знак"/>
    <w:link w:val="af5"/>
    <w:uiPriority w:val="99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Название Знак"/>
    <w:link w:val="af7"/>
    <w:uiPriority w:val="10"/>
    <w:qFormat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f8">
    <w:name w:val="Верхний колонтитул Знак"/>
    <w:link w:val="af9"/>
    <w:uiPriority w:val="99"/>
    <w:qFormat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pinkbg1">
    <w:name w:val="pinkbg1"/>
    <w:qFormat/>
    <w:rPr>
      <w:shd w:val="clear" w:color="auto" w:fill="FDD7C9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pinkbg">
    <w:name w:val="pinkbg"/>
    <w:qFormat/>
  </w:style>
  <w:style w:type="character" w:customStyle="1" w:styleId="upper">
    <w:name w:val="upper"/>
    <w:qFormat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  <w:rPr>
      <w:rFonts w:ascii="Times New Roman" w:hAnsi="Times New Roman" w:cs="Times New Roman"/>
      <w:lang w:eastAsia="ru-RU"/>
    </w:r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link w:val="af8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index heading"/>
    <w:basedOn w:val="Heading"/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NoticeText-List0">
    <w:name w:val="Основной текст;Основной текст Знак Знак;NoticeText-List"/>
    <w:basedOn w:val="a"/>
    <w:link w:val="NoticeText-List"/>
    <w:uiPriority w:val="99"/>
    <w:qFormat/>
    <w:pPr>
      <w:spacing w:after="120"/>
      <w:jc w:val="both"/>
    </w:pPr>
    <w:rPr>
      <w:sz w:val="24"/>
      <w:szCs w:val="24"/>
    </w:rPr>
  </w:style>
  <w:style w:type="paragraph" w:customStyle="1" w:styleId="210">
    <w:name w:val="Знак21"/>
    <w:basedOn w:val="a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Body Text Indent"/>
    <w:basedOn w:val="a"/>
    <w:link w:val="af4"/>
    <w:uiPriority w:val="99"/>
    <w:pPr>
      <w:spacing w:after="120"/>
      <w:ind w:left="283"/>
      <w:jc w:val="both"/>
    </w:pPr>
    <w:rPr>
      <w:sz w:val="24"/>
      <w:szCs w:val="24"/>
    </w:rPr>
  </w:style>
  <w:style w:type="paragraph" w:customStyle="1" w:styleId="af7">
    <w:name w:val="Название"/>
    <w:basedOn w:val="a"/>
    <w:link w:val="af6"/>
    <w:uiPriority w:val="10"/>
    <w:qFormat/>
    <w:pPr>
      <w:spacing w:line="360" w:lineRule="auto"/>
      <w:jc w:val="center"/>
    </w:pPr>
    <w:rPr>
      <w:sz w:val="2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parametervalue">
    <w:name w:val="parametervalue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12">
    <w:name w:val="Основной текст с отступом1"/>
    <w:qFormat/>
    <w:pPr>
      <w:spacing w:after="120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table" w:styleId="aff2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Александровна</dc:creator>
  <dc:description/>
  <cp:lastModifiedBy>Груздева Ольга Сергеевна</cp:lastModifiedBy>
  <cp:revision>2</cp:revision>
  <dcterms:created xsi:type="dcterms:W3CDTF">2025-09-24T03:45:00Z</dcterms:created>
  <dcterms:modified xsi:type="dcterms:W3CDTF">2025-09-24T03:45:00Z</dcterms:modified>
  <dc:language>ru-RU</dc:language>
  <cp:version>1048576</cp:version>
</cp:coreProperties>
</file>