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widowControl w:val="off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haracter">
                  <wp:posOffset>4185920</wp:posOffset>
                </wp:positionH>
                <wp:positionV relativeFrom="paragraph">
                  <wp:posOffset>-172719</wp:posOffset>
                </wp:positionV>
                <wp:extent cx="3110230" cy="25146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311023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char;margin-left:329.60pt;mso-position-horizontal:absolute;mso-position-vertical-relative:text;margin-top:-13.60pt;mso-position-vertical:absolute;width:244.90pt;height:19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t xml:space="preserve">                                                     </w:t>
      </w:r>
    </w:p>
    <w:p>
      <w:pPr>
        <w:pStyle w:val="Normal"/>
        <w:widowControl w:val="off"/>
        <w:tabs>
          <w:tab w:val="left" w:pos="709" w:leader="none"/>
        </w:tabs>
        <w:jc w:val="center"/>
      </w:pPr>
      <w:r>
        <w:t xml:space="preserve">Уважаемые коллеги!</w:t>
      </w:r>
    </w:p>
    <w:p>
      <w:pPr>
        <w:pStyle w:val="UserStyle_27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</w:pPr>
      <w:r>
        <w:rPr>
          <w:color w:val="000000"/>
        </w:rPr>
        <w:t xml:space="preserve">Во исполнение решения протокола по второму вопросу повестки заседания координационного совета по совершенствованию нормативного правового регулирования в Новосибирской области и выработке мер по предупреждению и устранению причин выявленных нарушений от 14.06.2022 контрольное управление Новосибирской области направляет для учета в работе следующие информацию и рекомендации об оказании консультативной помощи</w:t>
      </w:r>
      <w:r>
        <w:rPr>
          <w:iCs/>
        </w:rPr>
        <w:t xml:space="preserve"> получателям грантов</w:t>
      </w:r>
      <w:r>
        <w:rPr>
          <w:color w:val="000000"/>
        </w:rPr>
        <w:t xml:space="preserve">, в том числе посредством контроля за заключением указанными получателями договоров с контрагентами.</w:t>
      </w:r>
    </w:p>
    <w:p>
      <w:pPr>
        <w:pStyle w:val="Normal"/>
        <w:ind w:firstLine="709"/>
        <w:jc w:val="both"/>
      </w:pPr>
      <w:r>
        <w:rPr>
          <w:iCs/>
        </w:rPr>
        <w:t xml:space="preserve">В соответствии со статьей 78 Бюджетного кодекса Российской Федерации (далее – БК РФ) в бюджете Новосибирской области предусматриваются бюджетные ассигнования на предоставление юридическим лицам (за исключением государственных и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основе.</w:t>
      </w:r>
    </w:p>
    <w:p>
      <w:pPr>
        <w:pStyle w:val="Normal"/>
        <w:ind w:firstLine="709"/>
        <w:jc w:val="both"/>
      </w:pPr>
      <w:r>
        <w:rPr>
          <w:iCs/>
        </w:rPr>
        <w:t xml:space="preserve">Порядки предоставления грантов из бюджета Новосибирской области устанавливаются нормативными правовыми актами Правительства Новосибирской области, в частности, в форме приложений к постановлениям Правительства Новосибирской области, утверждающим государственные программы (далее – Порядки).</w:t>
      </w:r>
    </w:p>
    <w:p>
      <w:pPr>
        <w:pStyle w:val="Normal"/>
        <w:ind w:firstLine="709"/>
        <w:jc w:val="both"/>
      </w:pPr>
      <w:r>
        <w:rPr>
          <w:iCs/>
        </w:rPr>
        <w:t xml:space="preserve">Субсидии в форме грантов предоставляются получателям на основании Порядков и </w:t>
      </w:r>
      <w:r>
        <w:t xml:space="preserve">заключенных между </w:t>
      </w:r>
      <w:r>
        <w:rPr>
          <w:rFonts w:eastAsia="Calibri"/>
        </w:rPr>
        <w:t xml:space="preserve">главными распорядителями средств бюджета (далее – ГРБС)</w:t>
      </w:r>
      <w:r>
        <w:t xml:space="preserve"> и получателями грантов соглашений о предоставлении субсидий (грантов) (далее – Соглашения).</w:t>
      </w:r>
    </w:p>
    <w:p>
      <w:pPr>
        <w:pStyle w:val="Normal"/>
        <w:ind w:firstLine="709"/>
        <w:jc w:val="both"/>
      </w:pPr>
      <w:r>
        <w:rPr>
          <w:iCs/>
        </w:rPr>
        <w:t xml:space="preserve">В Порядках и Соглашениях предусматриваются общие требования к предоставлению грантов из бюджета в соответствии с </w:t>
      </w:r>
      <w:r>
        <w:fldChar w:fldCharType="begin"/>
      </w:r>
      <w:r>
        <w:instrText xml:space="preserve"> HYPERLINK "consultantplus://offline/ref=3C6346330FCC389349F3D668A453D20C4C54DC1DA0F221ACC3124BA8474616DC4D4492F743D57F0A2255AEDCED7245C4DFED15873909FA55E9rEK"</w:instrText>
      </w:r>
      <w:r>
        <w:fldChar w:fldCharType="separate"/>
      </w:r>
      <w:r>
        <w:rPr>
          <w:rStyle w:val="Hyperlink"/>
          <w:iCs/>
        </w:rPr>
        <w:t xml:space="preserve">требованиям</w:t>
      </w:r>
      <w:r>
        <w:fldChar w:fldCharType="end"/>
      </w:r>
      <w:r>
        <w:rPr>
          <w:iCs/>
        </w:rPr>
        <w:t xml:space="preserve">и, установленными БК РФ, нормативными правовыми актами Правительства Российской Федерации, Новосибирской области, и «особенные» в зависимости от отраслевой специфики государственных программ.</w:t>
      </w:r>
    </w:p>
    <w:p>
      <w:pPr>
        <w:pStyle w:val="Normal"/>
        <w:ind w:firstLine="709"/>
        <w:jc w:val="both"/>
      </w:pPr>
      <w:r>
        <w:rPr>
          <w:color w:val="000000"/>
        </w:rPr>
        <w:t xml:space="preserve">К числу общих требований, включаемых в Порядки и Соглашения, относятся требования, установленные </w:t>
      </w:r>
      <w:r>
        <w:rPr>
          <w:iCs/>
        </w:rPr>
        <w:t xml:space="preserve">пунктами 5 и 5.1 статьи 78 БК РФ, согласно которым при предоставлении грантов обязательными условиями их предоставления являются:</w:t>
      </w:r>
    </w:p>
    <w:p>
      <w:pPr>
        <w:pStyle w:val="Normal"/>
        <w:ind w:firstLine="709"/>
        <w:jc w:val="both"/>
      </w:pPr>
      <w:r>
        <w:rPr>
          <w:iCs/>
        </w:rPr>
        <w:t xml:space="preserve">- </w:t>
      </w:r>
      <w:r>
        <w:rPr>
          <w:i/>
          <w:iCs/>
        </w:rPr>
        <w:t xml:space="preserve">согласие</w:t>
      </w:r>
      <w:r>
        <w:rPr>
          <w:iCs/>
        </w:rPr>
        <w:t xml:space="preserve"> соответственно получателей субсидий и </w:t>
      </w:r>
      <w:r>
        <w:rPr>
          <w:i/>
          <w:iCs/>
        </w:rPr>
        <w:t xml:space="preserve">лиц, являющихся поставщиками (подрядчиками, исполнителями) </w:t>
      </w:r>
      <w:r>
        <w:rPr>
          <w:iCs/>
        </w:rPr>
        <w:t xml:space="preserve">по договорам (соглашениям), заключенным в целях исполнения обязательств по Соглашениям, </w:t>
      </w:r>
      <w:r>
        <w:rPr>
          <w:i/>
          <w:iCs/>
        </w:rPr>
        <w:t xml:space="preserve">на осуществление ГРБС</w:t>
      </w:r>
      <w:r>
        <w:rPr>
          <w:iCs/>
        </w:rPr>
        <w:t xml:space="preserve"> </w:t>
      </w:r>
      <w:r>
        <w:rPr>
          <w:i/>
          <w:iCs/>
        </w:rPr>
        <w:t xml:space="preserve">проверок </w:t>
      </w:r>
      <w:r>
        <w:t xml:space="preserve">соблюдения порядка и условий предоставления субсидий, в том числе в части достижения результатов их предоставления, а также </w:t>
      </w:r>
      <w:r>
        <w:rPr>
          <w:i/>
        </w:rPr>
        <w:t xml:space="preserve">проверок органами государственного (муниципального) финансового контроля</w:t>
      </w:r>
      <w:r>
        <w:t xml:space="preserve"> в соответствии со </w:t>
      </w:r>
      <w:r>
        <w:fldChar w:fldCharType="begin"/>
      </w:r>
      <w:r>
        <w:instrText xml:space="preserve"> HYPERLINK "consultantplus://offline/ref=4B29126D75B79395156BF748BDD02E0289ED1D18C8B16BBDF4784B758020B6D134B0A945A87330FE8B30C53DDDE81985AB14F2AB14DCN8P5L"</w:instrText>
      </w:r>
      <w:r>
        <w:fldChar w:fldCharType="separate"/>
      </w:r>
      <w:r>
        <w:rPr>
          <w:rStyle w:val="Hyperlink"/>
        </w:rPr>
        <w:t xml:space="preserve">статьями 268.1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"consultantplus://offline/ref=4B29126D75B79395156BF748BDD02E0289ED1D18C8B16BBDF4784B758020B6D134B0A945A87136FE8B30C53DDDE81985AB14F2AB14DCN8P5L"</w:instrText>
      </w:r>
      <w:r>
        <w:fldChar w:fldCharType="separate"/>
      </w:r>
      <w:r>
        <w:rPr>
          <w:rStyle w:val="Hyperlink"/>
        </w:rPr>
        <w:t xml:space="preserve">269.2</w:t>
      </w:r>
      <w:r>
        <w:fldChar w:fldCharType="end"/>
      </w:r>
      <w:r>
        <w:t xml:space="preserve"> БК РФ;</w:t>
      </w:r>
    </w:p>
    <w:p>
      <w:pPr>
        <w:pStyle w:val="Normal"/>
        <w:ind w:firstLine="709"/>
        <w:jc w:val="both"/>
      </w:pPr>
      <w:r>
        <w:rPr>
          <w:iCs/>
        </w:rPr>
        <w:t xml:space="preserve">- </w:t>
      </w:r>
      <w:r>
        <w:rPr>
          <w:i/>
          <w:iCs/>
        </w:rPr>
        <w:t xml:space="preserve">запрет приобретения </w:t>
      </w:r>
      <w:r>
        <w:rPr>
          <w:iCs/>
        </w:rPr>
        <w:t xml:space="preserve">за счет полученных средств</w:t>
      </w:r>
      <w:r>
        <w:rPr>
          <w:i/>
          <w:iCs/>
        </w:rPr>
        <w:t xml:space="preserve"> иностранной валюты</w:t>
      </w:r>
      <w:r>
        <w:rPr>
          <w:iCs/>
        </w:rPr>
        <w:t xml:space="preserve">, за исключением операций, осуществляемых в соответствии с</w:t>
      </w:r>
      <w:r>
        <w:rPr>
          <w:iCs/>
        </w:rPr>
        <w:t xml:space="preserve">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нормативными правовыми актами, регулирующими предоставление субсидий указанным юридическим лицам (в том числе в ряде случаев Порядками предусмотрено о</w:t>
      </w:r>
      <w:r>
        <w:t xml:space="preserve">бязательство получателя гранта включать запрет на приобретение за счет средств субсидии иностранной валюты в договоры, заключенные с контрагентами в целях исполнения обязательств по Соглашениям).</w:t>
      </w:r>
    </w:p>
    <w:p>
      <w:pPr>
        <w:pStyle w:val="Normal"/>
        <w:ind w:firstLine="709"/>
        <w:jc w:val="both"/>
      </w:pPr>
      <w:r>
        <w:rPr>
          <w:color w:val="000000"/>
        </w:rPr>
        <w:t xml:space="preserve">По результатам </w:t>
      </w:r>
      <w:r>
        <w:t xml:space="preserve">практики ведения административных производств в финансово-бюджетной сфере, в том числе рассмотрений материалов прокурорских проверок, Управлением отмечены системные случаи нарушений получателями грантов Порядков и условий заключенных Соглашений, выразившихся, в частности, в </w:t>
      </w:r>
      <w:r>
        <w:rPr>
          <w:i/>
        </w:rPr>
        <w:t xml:space="preserve">отсутствии в</w:t>
      </w:r>
      <w:r>
        <w:t xml:space="preserve"> </w:t>
      </w:r>
      <w:r>
        <w:rPr>
          <w:i/>
        </w:rPr>
        <w:t xml:space="preserve">договорах, заключенных получателями грантов со своими контрагентами</w:t>
      </w:r>
      <w:r>
        <w:t xml:space="preserve"> в целях исполнения обязательств по Соглашениям, условий, предусмотренных </w:t>
      </w:r>
      <w:r>
        <w:rPr>
          <w:iCs/>
        </w:rPr>
        <w:t xml:space="preserve">пунктами 5 и 5.1 статьи 78 БК РФ, Порядками и Соглашениями.</w:t>
      </w:r>
    </w:p>
    <w:p>
      <w:pPr>
        <w:pStyle w:val="Normal"/>
        <w:ind w:firstLine="709"/>
        <w:jc w:val="both"/>
      </w:pPr>
      <w:r>
        <w:t xml:space="preserve">Указанные нарушения квалифицируются как административные правонарушения, предусмотренные частью 2 статьи 15.15.5 Кодекса Российской Федерации об административных правонарушениях, и влекут наложение административных штрафов на граждан и должностных лиц в размере от 10 до 30 тысяч рублей; на юридических лиц – от 2 до 12 процентов суммы полученной субсидии.</w:t>
      </w:r>
    </w:p>
    <w:p>
      <w:pPr>
        <w:pStyle w:val="Normal"/>
        <w:ind w:firstLine="709"/>
        <w:jc w:val="both"/>
      </w:pPr>
      <w:r>
        <w:t xml:space="preserve">В ходе рассмотрения административных производств получатели грантов, допустившие указанные нарушения, в числе причин случившегося отмечали свою неопытность по получению государственной поддержки, отсутствие специальных познаний и информации о последствиях совершения нарушений.</w:t>
      </w:r>
    </w:p>
    <w:p>
      <w:pPr>
        <w:pStyle w:val="Normal"/>
        <w:ind w:firstLine="709"/>
        <w:jc w:val="both"/>
      </w:pPr>
      <w:r>
        <w:t xml:space="preserve">В целях профилактики выявленных случаев и оказания комплексной государственной поддержки контрольное управление Новосибирской области рекомендует ГРБС, </w:t>
      </w:r>
      <w:r>
        <w:rPr>
          <w:iCs/>
        </w:rPr>
        <w:t xml:space="preserve">предоставляющим субсидии,</w:t>
      </w:r>
      <w:r>
        <w:t xml:space="preserve"> на постоянной основе </w:t>
      </w:r>
      <w:r>
        <w:rPr>
          <w:i/>
        </w:rPr>
        <w:t xml:space="preserve">до факта перечисления средств гранта</w:t>
      </w:r>
      <w:r>
        <w:t xml:space="preserve"> оказывать адресную консультативную помощь получателям и потенциальным получателям грантов </w:t>
      </w:r>
      <w:r>
        <w:rPr>
          <w:color w:val="000000"/>
        </w:rPr>
        <w:t xml:space="preserve">посредством: </w:t>
      </w:r>
    </w:p>
    <w:p>
      <w:pPr>
        <w:pStyle w:val="Normal"/>
        <w:ind w:firstLine="709"/>
        <w:jc w:val="both"/>
      </w:pPr>
      <w:r>
        <w:rPr>
          <w:color w:val="000000"/>
        </w:rPr>
        <w:t xml:space="preserve">1) информирования получателей </w:t>
      </w:r>
      <w:r>
        <w:t xml:space="preserve">и потенциальных получателей грантов о существующих в регионе мерах поддержки в форме грантов, в том числе нормативной правовой базе, регулирующей предоставление грантов из областного бюджета Новосибирской области, </w:t>
      </w:r>
      <w:r>
        <w:rPr>
          <w:i/>
        </w:rPr>
        <w:t xml:space="preserve">с указанием реквизитов таких нормативных правовых актов</w:t>
      </w:r>
      <w:r>
        <w:t xml:space="preserve">;</w:t>
      </w:r>
    </w:p>
    <w:p>
      <w:pPr>
        <w:pStyle w:val="Normal"/>
        <w:ind w:firstLine="709"/>
        <w:jc w:val="both"/>
      </w:pPr>
      <w:r>
        <w:rPr>
          <w:color w:val="000000"/>
        </w:rPr>
        <w:t xml:space="preserve">2) проведения с </w:t>
      </w:r>
      <w:r>
        <w:t xml:space="preserve">получателями и потенциальными получателями грантов </w:t>
      </w:r>
      <w:r>
        <w:rPr>
          <w:color w:val="000000"/>
        </w:rPr>
        <w:t xml:space="preserve">разъяснительной работы: </w:t>
      </w:r>
    </w:p>
    <w:p>
      <w:pPr>
        <w:pStyle w:val="Normal"/>
        <w:ind w:firstLine="709"/>
        <w:jc w:val="both"/>
      </w:pPr>
      <w:r>
        <w:rPr>
          <w:color w:val="000000"/>
        </w:rPr>
        <w:t xml:space="preserve">- о необходимости соблюдения требований, содержащихся в Порядках и Соглашениях, с </w:t>
      </w:r>
      <w:r>
        <w:rPr>
          <w:i/>
          <w:color w:val="000000"/>
        </w:rPr>
        <w:t xml:space="preserve">пояснениями содержания таких требований и примерами надлежащего исполнения</w:t>
      </w:r>
      <w:r>
        <w:rPr>
          <w:color w:val="000000"/>
        </w:rPr>
        <w:t xml:space="preserve">, </w:t>
      </w:r>
    </w:p>
    <w:p>
      <w:pPr>
        <w:pStyle w:val="Normal"/>
        <w:ind w:firstLine="709"/>
        <w:jc w:val="both"/>
      </w:pPr>
      <w:r>
        <w:rPr>
          <w:color w:val="000000"/>
        </w:rPr>
        <w:t xml:space="preserve">- об ответственности за неисполнение и (или) ненадлежащее исполнение требований Порядков и Соглашений, обращая особое внимание на риски возникновения нарушений </w:t>
      </w:r>
      <w:r>
        <w:t xml:space="preserve">условий, предусмотренных Порядками и Соглашениями в соответствии с </w:t>
      </w:r>
      <w:r>
        <w:rPr>
          <w:iCs/>
        </w:rPr>
        <w:t xml:space="preserve">пунктами 5 и 5.1 статьи 78 БК РФ, </w:t>
      </w:r>
      <w:r>
        <w:rPr>
          <w:color w:val="000000"/>
        </w:rPr>
        <w:t xml:space="preserve">при заключении </w:t>
      </w:r>
      <w:r>
        <w:t xml:space="preserve">получателем гранта </w:t>
      </w:r>
      <w:r>
        <w:rPr>
          <w:color w:val="000000"/>
        </w:rPr>
        <w:t xml:space="preserve">договора с контрагентом и оплате по счету по результатам рассмотрения </w:t>
      </w:r>
      <w:r>
        <w:rPr>
          <w:i/>
        </w:rPr>
        <w:t xml:space="preserve">публичной оферты </w:t>
      </w:r>
      <w:r>
        <w:rPr>
          <w:i/>
          <w:iCs/>
        </w:rPr>
        <w:t xml:space="preserve">в сети «Интернет»</w:t>
      </w:r>
      <w:r>
        <w:rPr>
          <w:color w:val="000000"/>
        </w:rPr>
        <w:t xml:space="preserve">;</w:t>
      </w:r>
    </w:p>
    <w:p>
      <w:pPr>
        <w:pStyle w:val="Normal"/>
        <w:ind w:firstLine="709"/>
        <w:jc w:val="both"/>
      </w:pPr>
      <w:r>
        <w:rPr>
          <w:color w:val="000000"/>
        </w:rPr>
        <w:t xml:space="preserve">3) </w:t>
      </w:r>
      <w:r>
        <w:t xml:space="preserve">осуществления </w:t>
      </w:r>
      <w:r>
        <w:rPr>
          <w:i/>
        </w:rPr>
        <w:t xml:space="preserve">предварительного контроля</w:t>
      </w:r>
      <w:r>
        <w:t xml:space="preserve"> за исполнением получателями грантов обязательств по Соглашениям, в частности условий, предусмотренных в соответствии с </w:t>
      </w:r>
      <w:r>
        <w:rPr>
          <w:iCs/>
        </w:rPr>
        <w:t xml:space="preserve">пунктами 5 и 5.1 статьи 78 БК РФ, на этапе подготовки </w:t>
      </w:r>
      <w:r>
        <w:t xml:space="preserve">получателями грантов </w:t>
      </w:r>
      <w:r>
        <w:rPr>
          <w:i/>
        </w:rPr>
        <w:t xml:space="preserve">проектов договоров с </w:t>
      </w:r>
      <w:r>
        <w:t xml:space="preserve">контрагентами, в том числе путем проведения документарной </w:t>
      </w:r>
      <w:r>
        <w:rPr>
          <w:i/>
        </w:rPr>
        <w:t xml:space="preserve">проверки таких проектов договоров </w:t>
      </w:r>
      <w:r>
        <w:t xml:space="preserve">на предмет наличия (установления) в них обязательных условий.</w:t>
      </w:r>
    </w:p>
    <w:sectPr>
      <w:headerReference w:type="default" r:id="rId6"/>
      <w:headerReference w:type="first" r:id="rId7"/>
      <w:type w:val="nextPage"/>
      <w:pgSz w:w="11906" w:h="16838"/>
      <w:pgMar w:top="1190" w:right="567" w:bottom="1134" w:left="1418" w:header="1134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Mangal">
    <w:panose1 w:val="02040503050406030204"/>
  </w:font>
  <w:font w:name="Liberation Sans">
    <w:panose1 w:val="020B060402020202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8"/>
      <w:szCs w:val="28"/>
      <w:lang w:val="ru-RU" w:eastAsia="zh-CN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Основной шрифт абзаца1"/>
    <w:next w:val="UserStyle_9"/>
    <w:link w:val="Normal"/>
  </w:style>
  <w:style w:type="character" w:styleId="UserStyle_10">
    <w:name w:val="Верхний колонтитул Знак"/>
    <w:next w:val="UserStyle_10"/>
    <w:link w:val="Normal"/>
    <w:rPr>
      <w:sz w:val="28"/>
      <w:szCs w:val="28"/>
      <w:lang w:val="ru-RU" w:bidi="ar-SA"/>
    </w:rPr>
  </w:style>
  <w:style w:type="character" w:styleId="Hyperlink">
    <w:name w:val="Гиперссылка"/>
    <w:next w:val="Hyperlink"/>
    <w:link w:val="Normal"/>
    <w:rPr>
      <w:rFonts w:cs="Times New Roman"/>
      <w:color w:val="0000ff"/>
      <w:u w:val="single"/>
    </w:rPr>
  </w:style>
  <w:style w:type="character" w:styleId="UserStyle_11">
    <w:name w:val="Основной текст 2 Знак"/>
    <w:next w:val="UserStyle_11"/>
    <w:link w:val="Normal"/>
    <w:rPr>
      <w:sz w:val="28"/>
      <w:szCs w:val="28"/>
      <w:lang w:val="ru-RU" w:bidi="ar-SA"/>
    </w:rPr>
  </w:style>
  <w:style w:type="character" w:styleId="UserStyle_12">
    <w:name w:val="Основной текст 3 Знак"/>
    <w:next w:val="UserStyle_12"/>
    <w:link w:val="Normal"/>
    <w:rPr>
      <w:b/>
      <w:bCs/>
      <w:sz w:val="28"/>
      <w:szCs w:val="28"/>
      <w:lang w:val="ru-RU" w:bidi="ar-SA"/>
    </w:rPr>
  </w:style>
  <w:style w:type="character" w:styleId="UserStyle_13">
    <w:name w:val=" Знак Знак4"/>
    <w:next w:val="UserStyle_13"/>
    <w:link w:val="Normal"/>
    <w:rPr>
      <w:rFonts w:ascii="Times New Roman" w:hAnsi="Times New Roman" w:eastAsia="Times New Roman" w:cs="Times New Roman"/>
      <w:sz w:val="28"/>
      <w:szCs w:val="28"/>
    </w:rPr>
  </w:style>
  <w:style w:type="character" w:styleId="UserStyle_14">
    <w:name w:val="Font Style14"/>
    <w:next w:val="UserStyle_14"/>
    <w:link w:val="Normal"/>
    <w:rPr>
      <w:rFonts w:ascii="Times New Roman" w:hAnsi="Times New Roman" w:cs="Times New Roman"/>
      <w:b/>
      <w:bCs/>
      <w:sz w:val="26"/>
      <w:szCs w:val="26"/>
    </w:rPr>
  </w:style>
  <w:style w:type="character" w:styleId="UserStyle_15">
    <w:name w:val="Font Style15"/>
    <w:next w:val="UserStyle_15"/>
    <w:link w:val="Normal"/>
    <w:rPr>
      <w:rFonts w:ascii="Times New Roman" w:hAnsi="Times New Roman" w:cs="Times New Roman"/>
      <w:sz w:val="26"/>
      <w:szCs w:val="26"/>
    </w:rPr>
  </w:style>
  <w:style w:type="character" w:styleId="UserStyle_16">
    <w:name w:val="Текст сноски Знак"/>
    <w:basedOn w:val="UserStyle_9"/>
    <w:next w:val="UserStyle_16"/>
    <w:link w:val="Normal"/>
  </w:style>
  <w:style w:type="character" w:styleId="UserStyle_17">
    <w:name w:val="Footnote Characters"/>
    <w:next w:val="UserStyle_17"/>
    <w:link w:val="Normal"/>
    <w:rPr>
      <w:vertAlign w:val="superscript"/>
    </w:rPr>
  </w:style>
  <w:style w:type="paragraph" w:styleId="UserStyle_18">
    <w:name w:val="Heading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cs="Mangal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19">
    <w:name w:val="Index"/>
    <w:basedOn w:val="Normal"/>
    <w:next w:val="UserStyle_19"/>
    <w:link w:val="Normal"/>
    <w:pPr>
      <w:suppressLineNumbers/>
    </w:pPr>
    <w:rPr>
      <w:rFonts w:cs="Mangal"/>
    </w:rPr>
  </w:style>
  <w:style w:type="paragraph" w:styleId="UserStyle_20">
    <w:name w:val="Header and Footer"/>
    <w:basedOn w:val="Normal"/>
    <w:next w:val="UserStyle_20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153" w:leader="none"/>
        <w:tab w:val="right" w:pos="8306" w:leader="none"/>
      </w:tabs>
    </w:pPr>
  </w:style>
  <w:style w:type="paragraph" w:styleId="UserStyle_21">
    <w:name w:val="Основной текст 21"/>
    <w:basedOn w:val="Normal"/>
    <w:next w:val="UserStyle_21"/>
    <w:link w:val="Normal"/>
    <w:pPr>
      <w:jc w:val="both"/>
    </w:pPr>
  </w:style>
  <w:style w:type="paragraph" w:styleId="UserStyle_22">
    <w:name w:val="Основной текст 31"/>
    <w:basedOn w:val="Normal"/>
    <w:next w:val="UserStyle_22"/>
    <w:link w:val="Normal"/>
    <w:pPr>
      <w:jc w:val="center"/>
    </w:pPr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</w:rPr>
  </w:style>
  <w:style w:type="paragraph" w:styleId="UserStyle_23">
    <w:name w:val="Block Text"/>
    <w:basedOn w:val="Normal"/>
    <w:next w:val="UserStyle_23"/>
    <w:link w:val="Normal"/>
    <w:pPr>
      <w:tabs>
        <w:tab w:val="left" w:pos="2552" w:leader="none"/>
      </w:tabs>
      <w:ind w:left="1701" w:right="-369" w:hanging="2694"/>
      <w:jc w:val="both"/>
    </w:pPr>
    <w:rPr>
      <w:szCs w:val="20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UserStyle_24">
    <w:name w:val="Default"/>
    <w:next w:val="UserStyle_24"/>
    <w:link w:val="Normal"/>
    <w:rPr>
      <w:rFonts w:ascii="Calibri" w:hAnsi="Calibri" w:cs="Calibri"/>
      <w:color w:val="000000"/>
      <w:sz w:val="24"/>
      <w:szCs w:val="24"/>
      <w:lang w:val="ru-RU" w:eastAsia="zh-CN" w:bidi="ar-SA"/>
    </w:rPr>
  </w:style>
  <w:style w:type="paragraph" w:styleId="UserStyle_25">
    <w:name w:val="Style5"/>
    <w:basedOn w:val="Normal"/>
    <w:next w:val="UserStyle_25"/>
    <w:link w:val="Normal"/>
    <w:pPr>
      <w:widowControl w:val="off"/>
      <w:spacing w:line="372" w:lineRule="exact"/>
      <w:ind w:left="0" w:right="0" w:firstLine="701"/>
      <w:jc w:val="both"/>
    </w:pPr>
    <w:rPr>
      <w:rFonts w:eastAsia="Times New Roman"/>
      <w:sz w:val="24"/>
      <w:szCs w:val="24"/>
    </w:rPr>
  </w:style>
  <w:style w:type="paragraph" w:styleId="UserStyle_26">
    <w:name w:val="ConsPlusNormal"/>
    <w:next w:val="UserStyle_26"/>
    <w:link w:val="Normal"/>
    <w:pPr>
      <w:widowControl w:val="off"/>
      <w:ind w:firstLine="720"/>
    </w:pPr>
    <w:rPr>
      <w:rFonts w:ascii="Arial" w:hAnsi="Arial" w:cs="Arial"/>
      <w:lang w:val="ru-RU" w:eastAsia="zh-CN" w:bidi="ar-SA"/>
    </w:rPr>
  </w:style>
  <w:style w:type="paragraph" w:styleId="UserStyle_27">
    <w:name w:val="Официальный"/>
    <w:basedOn w:val="Normal"/>
    <w:next w:val="UserStyle_27"/>
    <w:link w:val="Normal"/>
    <w:pPr>
      <w:ind w:left="0" w:right="0" w:firstLine="709"/>
    </w:pPr>
    <w:rPr>
      <w:rFonts w:eastAsia="Calibri"/>
      <w:szCs w:val="22"/>
    </w:rPr>
  </w:style>
  <w:style w:type="paragraph" w:styleId="UserStyle_28">
    <w:name w:val="ConsPlusNonformat"/>
    <w:next w:val="UserStyle_28"/>
    <w:link w:val="Normal"/>
    <w:pPr>
      <w:widowControl w:val="off"/>
    </w:pPr>
    <w:rPr>
      <w:rFonts w:ascii="Courier New" w:hAnsi="Courier New" w:cs="Courier New"/>
      <w:lang w:val="ru-RU" w:eastAsia="zh-CN" w:bidi="ar-SA"/>
    </w:rPr>
  </w:style>
  <w:style w:type="paragraph" w:styleId="UserStyle_29">
    <w:name w:val=" Знак1"/>
    <w:basedOn w:val="Normal"/>
    <w:next w:val="UserStyle_29"/>
    <w:link w:val="Normal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User">
    <w:name w:val="Без интервала"/>
    <w:next w:val="User"/>
    <w:link w:val="Normal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UserStyle_30">
    <w:name w:val="Содержимое таблицы"/>
    <w:basedOn w:val="Normal"/>
    <w:next w:val="UserStyle_30"/>
    <w:link w:val="Normal"/>
    <w:pPr>
      <w:suppressLineNumbers/>
    </w:pPr>
    <w:rPr>
      <w:sz w:val="20"/>
      <w:szCs w:val="20"/>
    </w:rPr>
  </w:style>
  <w:style w:type="paragraph" w:styleId="UserStyle_31">
    <w:name w:val="Стиль3"/>
    <w:basedOn w:val="Normal"/>
    <w:next w:val="UserStyle_31"/>
    <w:link w:val="Normal"/>
    <w:pPr>
      <w:widowControl w:val="off"/>
      <w:tabs>
        <w:tab w:val="left" w:pos="432" w:leader="none"/>
      </w:tabs>
      <w:ind w:left="432" w:right="0" w:hanging="432"/>
      <w:jc w:val="both"/>
    </w:pPr>
    <w:rPr>
      <w:sz w:val="24"/>
      <w:szCs w:val="20"/>
      <w:lang w:eastAsia="zh-CN"/>
    </w:rPr>
  </w:style>
  <w:style w:type="paragraph" w:styleId="UserStyle_32">
    <w:name w:val="Основной текст2"/>
    <w:basedOn w:val="Normal"/>
    <w:next w:val="UserStyle_32"/>
    <w:link w:val="Normal"/>
    <w:pPr>
      <w:widowControl w:val="off"/>
      <w:shd w:val="clear" w:color="auto" w:fill="ffffff"/>
      <w:spacing w:before="600" w:after="360" w:line="240" w:lineRule="atLeast"/>
    </w:pPr>
    <w:rPr>
      <w:color w:val="000000"/>
      <w:sz w:val="27"/>
      <w:szCs w:val="27"/>
    </w:rPr>
  </w:style>
  <w:style w:type="paragraph" w:styleId="FootnoteText">
    <w:name w:val="Текст сноски"/>
    <w:basedOn w:val="Normal"/>
    <w:next w:val="FootnoteText"/>
    <w:link w:val="Normal"/>
    <w:rPr>
      <w:sz w:val="20"/>
      <w:szCs w:val="20"/>
    </w:rPr>
  </w:style>
  <w:style w:type="paragraph" w:styleId="UserStyle_33">
    <w:name w:val="Table Contents"/>
    <w:basedOn w:val="Normal"/>
    <w:next w:val="UserStyle_33"/>
    <w:link w:val="Normal"/>
    <w:pPr>
      <w:suppressLineNumbers/>
    </w:pPr>
  </w:style>
  <w:style w:type="paragraph" w:styleId="UserStyle_34">
    <w:name w:val="Table Heading"/>
    <w:basedOn w:val="UserStyle_33"/>
    <w:next w:val="UserStyle_34"/>
    <w:link w:val="Normal"/>
    <w:pPr>
      <w:suppressLineNumbers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image" Target="media/image1.pn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5599</Characters>
  <CharactersWithSpaces>6568</CharactersWithSpaces>
  <Company>PNO</Company>
  <DocSecurity>0</DocSecurity>
  <HyperlinksChanged>false</HyperlinksChanged>
  <Lines>46</Lines>
  <Pages>3</Pages>
  <Paragraphs>13</Paragraphs>
  <ScaleCrop>false</ScaleCrop>
  <SharedDoc>false</SharedDoc>
  <Template>Normal</Template>
  <Words>982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lastModifiedBy>Карпова Ирина Юрьевна</cp:lastModifiedBy>
  <cp:revision>2</cp:revision>
  <dcterms:created xsi:type="dcterms:W3CDTF">2023-03-31T07:30:00Z</dcterms:created>
  <dcterms:modified xsi:type="dcterms:W3CDTF">2023-03-31T07:30:00Z</dcterms:modified>
  <cp:version>1048576</cp:version>
</cp:coreProperties>
</file>