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4903470</wp:posOffset>
                </wp:positionH>
                <wp:positionV relativeFrom="page">
                  <wp:posOffset>731520</wp:posOffset>
                </wp:positionV>
                <wp:extent cx="3110865" cy="252095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page;margin-left:386.10pt;mso-position-horizontal:absolute;mso-position-vertical-relative:page;margin-top:57.60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правилах привлечения работников к работе в выходные и нерабочие праздничные дни</w:t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113 Трудового кодекса Российской Федерации работа в выходные и нерабочие праздничные дни запрещается.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работников к работе в выходные и нерабочие праздничные дни производится: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 с письменного согласия работника</w:t>
      </w:r>
      <w:r>
        <w:rPr>
          <w:rFonts w:ascii="Times New Roman" w:hAnsi="Times New Roman" w:cs="Times New Roman"/>
          <w:sz w:val="28"/>
          <w:szCs w:val="28"/>
        </w:rPr>
        <w:t xml:space="preserve"> –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 без согласия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отдельных категорий работников порядок привлечения к работе в нерабочие праздничные дни может устанавливаться коллективным договором, локальным нормативным актом, трудовым договором. К таким категориям ст. 113 ТК РФ относит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 Указанный перечень утвержден постановлением Правительства Российской Федерации от 28.04.2007 № 252.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работников, которых ни при каких условиях нельзя привлекать к работе в выходные и нерабочие праздничные дни, установлены федеральным законодательством. К ним относятся, в частности: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инвалиды, если такая работа запрещена им по состоянию здоровья в соответствии с медицинским заключением (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 xml:space="preserve">ст. 113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женщины, имеющие детей в возрасте до трех лет, если такая работа запрещена им по состоянию здоровья в соответствии с медицинским заключением (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 xml:space="preserve">ст. 113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 xml:space="preserve">ст. 259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беременные женщины (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 xml:space="preserve">ст. 259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несовершеннолетние работники, за исключением: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перечнем работ, профессий, должностей этих работников, утверждаемыми постановлением Правительства Российской Федерации от 28.04.2007 № 252 (ст. 268 ТК РФ);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спортсменов, привлечение которых к работе в выходные и нерабочие праздничные дни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 (ст. 348.8 ТК РФ);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работники, имеющие детей-инвалидов, работники,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четырнадцати лет, опекуны детей указанного возраста, родители, имеющие ребенка в возрасте до четырнадцати лет, в случае, если другой родитель работает вахтовым методом, а также работники, имеющие трех и более детей в возрасте до восемнадцати лет, в период до достижения младшим из детей возраста четырнадцати лет, если такая работа запрещена им по состоянию здоровья в соответствии с медицинским заключением (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 xml:space="preserve">ст. 259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выходной или нерабочий праздничный день оплачивается не менее чем в двойном размере на условиях, определенных ст. 153 ТК РФ.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компенсации за работу в выходной или нерабочий праздничный день (ст. 153 ТК РФ):</w:t>
      </w:r>
    </w:p>
    <w:p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повышенная оплата;</w:t>
      </w:r>
    </w:p>
    <w:p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дополнительное время отдыха.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 (ст. 153 ТК РФ)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сам выбирает вид компенсации (ст. 153 ТК РФ). Исключение составляют те работники, с которыми срочный трудовой договор заключен на срок до двух месяцев. Они не вправе выбрать отгул (ст. 290 ТК РФ).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трудовым законодательством трудовой договор с руководителем учреждения (автономной некоммерческой организации), заключается с органом, выполняющим функции и полномочия </w:t>
      </w:r>
      <w:r>
        <w:rPr>
          <w:rFonts w:ascii="Times New Roman" w:hAnsi="Times New Roman" w:cs="Times New Roman"/>
          <w:sz w:val="28"/>
          <w:szCs w:val="28"/>
        </w:rPr>
        <w:t xml:space="preserve">учредителя (далее – Учредитель), именно Учредитель определяет в трудовом договоре условия оплаты труда (ст. 57 ТК РФ). Таким образом, решение о начислении и выплате доплаты за работу в выходной день относится к компетенции работодателя (Учредителя).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привлечения работника к работе в выходные и нерабочие праздничные дни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d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По инициативе работодателя (Учредителя):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Работодатель (Учредитель) уведомляет работника о необходимости и причинах привлечения в выходной и нерабочий праздничный день, знакомит его с правом отказаться, получает письменное согласие сотрудника (ч. 2 ст. 113 ТК РФ).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 установленной формы уведомления о привлечении к работе в выходной и нерабочий праздничный день нет. Такое уведомление можно составить в произвольной форме, указав в нем ФИО и должность работника, причину выхода на работу в выходной и нерабочий праздничный день, дату и время работы. Уведомление необходимо, чтобы:</w:t>
      </w:r>
    </w:p>
    <w:p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проинформировать работника о необходимости работы в выходной и нерабочий праздничный день;</w:t>
      </w:r>
    </w:p>
    <w:p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уведомить о праве работника отказаться от работы в выходной и нерабочий праздничный день.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такого уведомления можно сразу получить согласие работника на работу в выходной и нерабочий праздничный день и зафиксировать, что хочет получить работник за работу в выходной и нерабочий праздничный день – двойную оплату или другой день отдыха.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в 2-х экземплярах (по одному экземпляру – для работника и для работодателя (Учредителя).</w:t>
      </w:r>
    </w:p>
    <w:p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 Учредитель издает </w:t>
      </w:r>
      <w:r>
        <w:rPr>
          <w:rFonts w:ascii="Times New Roman" w:hAnsi="Times New Roman" w:cs="Times New Roman"/>
          <w:sz w:val="28"/>
          <w:szCs w:val="28"/>
        </w:rPr>
        <w:t xml:space="preserve">письменное распоряжение (приказ) работодателя о привлечении сотрудника к работе в выходные и нерабочие праздничные дни (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 xml:space="preserve">ч. 8 ст. 113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ТК РФ). В приказе необходимо указать ФИО и должность работника, те дни, в которые он должен выйти на работу, а также место назначения в случае командирования работника выполнения трудовых функций с согласованными условиями компенсации за работу в выходные и праздничные дни. Важно, что ТК РФ не предусмотрена возможность направления подобного распоряжения в устной форме.</w:t>
      </w:r>
    </w:p>
    <w:p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d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По инициативе руководителя подведомственного учреждения (автономной некоммерческой организации):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Руководитель подведомственного учреждения (автономной некоммерческой организации) направляет в адрес Учредителя служебную (докладную) записку по форме приложения к настоящей Памятке, в которой излагает обоснование необходимости выполнения им трудовых функций в выходные и нерабочие праздничные дни, в том числе при направлении его в </w:t>
      </w:r>
      <w:r>
        <w:rPr>
          <w:rFonts w:ascii="Times New Roman" w:hAnsi="Times New Roman" w:cs="Times New Roman"/>
          <w:sz w:val="28"/>
          <w:szCs w:val="28"/>
        </w:rPr>
        <w:t xml:space="preserve">командировку, с указанием дней и места их осуществления. Учредитель согласовывает (визирует) представленную служебную (докладную) записку.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Учредителем издается распоряжение (приказ) работодателя о привлечении руководителя подведомственного учреждения (автономной некоммерческой организации) к работе в выходные и нерабочие праздничные дни (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 xml:space="preserve">ч. 8 ст. 113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ТК РФ). В приказе необходимо указать ФИО и должность работника, те дни, в которые он должен выйти на работу и виды компенсации за работу в выходной или нерабочий праздничный день (повышенная оплата или дополнительное время отдыха).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</w:p>
    <w:p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Памятке</w:t>
      </w:r>
    </w:p>
    <w:p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813" w:type="dxa"/>
        <w:tblInd w:w="108" w:type="dxa"/>
        <w:tblLook w:val="04A0" w:firstRow="1" w:lastRow="0" w:firstColumn="1" w:lastColumn="0" w:noHBand="0" w:noVBand="1"/>
      </w:tblPr>
      <w:tblGrid>
        <w:gridCol w:w="5043"/>
        <w:gridCol w:w="4770"/>
      </w:tblGrid>
      <w:tr>
        <w:trPr>
          <w:trHeight w:val="2278"/>
        </w:trPr>
        <w:tc>
          <w:tcPr>
            <w:tcW w:w="5042" w:type="dxa"/>
            <w:tcBorders>
              <w:top w:val="none"/>
              <w:left w:val="none"/>
              <w:right w:val="none"/>
            </w:tcBorders>
          </w:tcPr>
          <w:p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учреждения</w:t>
            </w:r>
          </w:p>
          <w:p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widowControl w:val="off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one"/>
              <w:left w:val="none"/>
              <w:right w:val="none"/>
            </w:tcBorders>
          </w:tcPr>
          <w:p>
            <w:pPr>
              <w:ind w:right="3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областного исполнительного органа государственной власти Новосибирской области</w:t>
            </w:r>
          </w:p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Фамилия</w:t>
            </w:r>
          </w:p>
          <w:p>
            <w:pPr>
              <w:widowControl w:val="off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5042" w:type="dxa"/>
            <w:tcBorders>
              <w:left w:val="none"/>
              <w:bottom w:val="none"/>
              <w:right w:val="none"/>
            </w:tcBorders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СЛУЖЕБНАЯ (ДОКЛАДНАЯ) ЗАПИСКА</w:t>
            </w:r>
          </w:p>
        </w:tc>
        <w:tc>
          <w:tcPr>
            <w:tcW w:w="4770" w:type="dxa"/>
            <w:tcBorders>
              <w:left w:val="none"/>
              <w:bottom w:val="none"/>
              <w:right w:val="none"/>
            </w:tcBorders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trHeight w:val="371"/>
        </w:trPr>
        <w:tc>
          <w:tcPr>
            <w:tcW w:w="504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ind w:right="3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 № ________</w:t>
            </w:r>
          </w:p>
          <w:p>
            <w:pPr>
              <w:widowControl w:val="off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widowControl w:val="off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привлечении к работе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нерабочий праздничный </w:t>
      </w:r>
      <w:r>
        <w:rPr>
          <w:rFonts w:ascii="Times New Roman" w:hAnsi="Times New Roman" w:cs="Times New Roman"/>
          <w:sz w:val="28"/>
          <w:szCs w:val="28"/>
        </w:rPr>
        <w:t xml:space="preserve">день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i/>
          <w:sz w:val="28"/>
          <w:szCs w:val="28"/>
        </w:rPr>
        <w:t xml:space="preserve">Имя Отчество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(указать причину, по которой необходимо привлечь к работе в выходной / нерабочий праздничный день),</w:t>
      </w:r>
      <w:r>
        <w:rPr>
          <w:rFonts w:ascii="Times New Roman" w:hAnsi="Times New Roman" w:cs="Times New Roman"/>
          <w:sz w:val="28"/>
          <w:szCs w:val="28"/>
        </w:rPr>
        <w:t xml:space="preserve"> прошу в соответствии со статьей 113 Трудового кодекса РФ привлечь меня к работе в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выходной / нерабочий праздничный </w:t>
      </w:r>
      <w:r>
        <w:rPr>
          <w:rFonts w:ascii="Times New Roman" w:hAnsi="Times New Roman" w:cs="Times New Roman"/>
          <w:sz w:val="28"/>
          <w:szCs w:val="28"/>
        </w:rPr>
        <w:t xml:space="preserve">день «__» ____________ 20 __ г. с __ час:__мин. на __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) рабочих часов.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1.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в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выходной / нерабочий праздничный </w:t>
      </w:r>
      <w:r>
        <w:rPr>
          <w:rFonts w:ascii="Times New Roman" w:hAnsi="Times New Roman" w:cs="Times New Roman"/>
          <w:sz w:val="28"/>
          <w:szCs w:val="28"/>
        </w:rPr>
        <w:t xml:space="preserve">день «__» ______________ 20 __ г. прошу произвести в двойном размере. От предоставления другого дня отдыха за работу в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нерабочий праздничный </w:t>
      </w:r>
      <w:r>
        <w:rPr>
          <w:rFonts w:ascii="Times New Roman" w:hAnsi="Times New Roman" w:cs="Times New Roman"/>
          <w:sz w:val="28"/>
          <w:szCs w:val="28"/>
        </w:rPr>
        <w:t xml:space="preserve">день отказываюсь.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2.</w:t>
      </w:r>
      <w:r>
        <w:rPr>
          <w:rFonts w:ascii="Times New Roman" w:hAnsi="Times New Roman" w:cs="Times New Roman"/>
          <w:sz w:val="28"/>
          <w:szCs w:val="28"/>
        </w:rPr>
        <w:t xml:space="preserve"> Оплату труда в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нерабочий праздничный</w:t>
      </w:r>
      <w:r>
        <w:rPr>
          <w:rFonts w:ascii="Times New Roman" w:hAnsi="Times New Roman" w:cs="Times New Roman"/>
          <w:sz w:val="28"/>
          <w:szCs w:val="28"/>
        </w:rPr>
        <w:t xml:space="preserve"> день «__» ______________ 20 __ г. прошу произвести в одинарном размере и предоставить другой день отдыха «__» ______________ 20 __ г.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</w:t>
      </w:r>
    </w:p>
    <w:p>
      <w:pPr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учреждения             ____________________                   </w:t>
      </w:r>
      <w:r>
        <w:rPr>
          <w:rFonts w:ascii="Times New Roman" w:hAnsi="Times New Roman" w:cs="Times New Roman"/>
          <w:sz w:val="28"/>
          <w:szCs w:val="28"/>
        </w:rPr>
        <w:t xml:space="preserve">И.О. Фамилия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(подпись)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pgSz w:w="11906" w:h="16838"/>
      <w:pgMar w:top="1134" w:right="567" w:bottom="1134" w:left="1418" w:header="709" w:footer="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28527930"/>
      <w:docPartObj>
        <w:docPartGallery w:val="Page Numbers (Top of Page)"/>
        <w:docPartUnique w:val="true"/>
      </w:docPartObj>
    </w:sdtPr>
    <w:sdtContent>
      <w:p>
        <w:pPr>
          <w:pStyle w:val="af1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cs="Calibr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 w:customStyle="1">
    <w:name w:val="Текст примечания Знак"/>
    <w:basedOn w:val="a0"/>
    <w:uiPriority w:val="99"/>
    <w:semiHidden/>
    <w:qFormat/>
    <w:rPr>
      <w:rFonts w:ascii="Calibri" w:hAnsi="Calibri" w:cs="Calibri"/>
      <w:sz w:val="20"/>
      <w:szCs w:val="20"/>
    </w:rPr>
  </w:style>
  <w:style w:type="character" w:styleId="a6" w:customStyle="1">
    <w:name w:val="Тема примечания Знак"/>
    <w:basedOn w:val="a5"/>
    <w:uiPriority w:val="99"/>
    <w:semiHidden/>
    <w:qFormat/>
    <w:rPr>
      <w:rFonts w:ascii="Calibri" w:hAnsi="Calibri" w:cs="Calibri"/>
      <w:b/>
      <w:bCs/>
      <w:sz w:val="20"/>
      <w:szCs w:val="20"/>
    </w:rPr>
  </w:style>
  <w:style w:type="character" w:styleId="a7" w:customStyle="1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styleId="a8" w:customStyle="1">
    <w:name w:val="Верхний колонтитул Знак"/>
    <w:basedOn w:val="a0"/>
    <w:uiPriority w:val="99"/>
    <w:qFormat/>
    <w:rPr>
      <w:rFonts w:ascii="Calibri" w:hAnsi="Calibri" w:cs="Calibri"/>
    </w:rPr>
  </w:style>
  <w:style w:type="character" w:styleId="a9" w:customStyle="1">
    <w:name w:val="Нижний колонтитул Знак"/>
    <w:basedOn w:val="a0"/>
    <w:uiPriority w:val="99"/>
    <w:qFormat/>
    <w:rPr>
      <w:rFonts w:ascii="Calibri" w:hAnsi="Calibri" w:cs="Calibri"/>
    </w:rPr>
  </w:style>
  <w:style w:type="paragraph" w:styleId="Heading" w:customStyle="1">
    <w:name w:val="Heading"/>
    <w:basedOn w:val="a"/>
    <w:next w:val="a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Pr>
      <w:b/>
      <w:bCs/>
    </w:rPr>
  </w:style>
  <w:style w:type="paragraph" w:styleId="af0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eaderandFooter" w:customStyle="1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ConsPlusNormal" w:customStyle="1">
    <w:name w:val="ConsPlusNormal"/>
    <w:qFormat/>
    <w:pPr>
      <w:widowControl w:val="off"/>
    </w:pPr>
    <w:rPr>
      <w:rFonts w:eastAsia="Times New Roman" w:cs="Calibri"/>
      <w:szCs w:val="20"/>
      <w:lang w:eastAsia="ru-RU"/>
    </w:rPr>
  </w:style>
  <w:style w:type="table" w:styleId="af3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6534330A8D4E7380475F37A84A63FB901C98E39A2E818251559A3AF4FF383E87A803420DBCE2EB3747913E507A304D204022F0CAA7iEP6K" TargetMode="External"/><Relationship Id="rId11" Type="http://schemas.openxmlformats.org/officeDocument/2006/relationships/hyperlink" Target="consultantplus://offline/ref=6534330A8D4E7380475F37A84A63FB901C98E39A2E818251559A3AF4FF383E87A803420DBCE2EB3747913E507A304D204022F0CAA7iEP6K" TargetMode="External"/><Relationship Id="rId12" Type="http://schemas.openxmlformats.org/officeDocument/2006/relationships/hyperlink" Target="consultantplus://offline/ref=6534330A8D4E7380475F37A84A63FB901C98E39A2E818251559A3AF4FF383E87A803420ABCE3E06842842F087433533E4539ECC8A5E6iCPBK" TargetMode="External"/><Relationship Id="rId13" Type="http://schemas.openxmlformats.org/officeDocument/2006/relationships/hyperlink" Target="consultantplus://offline/ref=6534330A8D4E7380475F37A84A63FB901C98E39A2E818251559A3AF4FF383E87A803420ABCE4E66016DE3F0C3D655E234522F2CFBBE6C908i0PBK" TargetMode="External"/><Relationship Id="rId14" Type="http://schemas.openxmlformats.org/officeDocument/2006/relationships/hyperlink" Target="consultantplus://offline/ref=6534330A8D4E7380475F37A84A63FB901C98E39A2E818251559A3AF4FF383E87A803420ABCE3E16842842F087433533E4539ECC8A5E6iCPBK" TargetMode="External"/><Relationship Id="rId15" Type="http://schemas.openxmlformats.org/officeDocument/2006/relationships/hyperlink" Target="https://login.consultant.ru/link/?req=doc&amp;base=LAW&amp;n=201079&amp;dst=608" TargetMode="External"/><Relationship Id="rId16" Type="http://schemas.openxmlformats.org/officeDocument/2006/relationships/hyperlink" Target="https://login.consultant.ru/link/?req=doc&amp;base=LAW&amp;n=201079&amp;dst=6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8854</Characters>
  <CharactersWithSpaces>10387</CharactersWithSpaces>
  <Company>PNO</Company>
  <DocSecurity>0</DocSecurity>
  <HyperlinksChanged>false</HyperlinksChanged>
  <Lines>73</Lines>
  <LinksUpToDate>false</LinksUpToDate>
  <Pages>5</Pages>
  <Paragraphs>20</Paragraphs>
  <ScaleCrop>false</ScaleCrop>
  <SharedDoc>false</SharedDoc>
  <Template>Normal</Template>
  <TotalTime>0</TotalTime>
  <Words>1553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Бугровская Арина Сергеевна</dc:creator>
  <dc:description/>
  <dc:language>ru-RU</dc:language>
  <cp:lastModifiedBy>Карпова Ирина Юрьевна</cp:lastModifiedBy>
  <cp:revision>2</cp:revision>
  <cp:lastPrinted>2022-06-10T02:26:00Z</cp:lastPrinted>
  <dcterms:created xsi:type="dcterms:W3CDTF">2023-03-31T07:32:00Z</dcterms:created>
  <dcterms:modified xsi:type="dcterms:W3CDTF">2023-03-31T07:32:00Z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