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jc w:val="right"/>
      </w:pPr>
      <w:r>
        <w:t xml:space="preserve">          </w:t>
      </w:r>
      <w:r>
        <w:t xml:space="preserve">от 25.06.2024 №</w:t>
      </w:r>
      <w:r>
        <w:t xml:space="preserve"> </w:t>
      </w:r>
      <w:r>
        <w:t xml:space="preserve">03-12/1008/39</w:t>
      </w:r>
    </w:p>
    <w:p>
      <w:pPr>
        <w:pStyle w:val="UserStyle_1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off"/>
        <w:jc w:val="center"/>
        <w:rPr>
          <w:b/>
          <w:color w:val="000000"/>
        </w:rPr>
      </w:pPr>
      <w:r>
        <w:rPr>
          <w:b/>
          <w:color w:val="000000"/>
        </w:rPr>
        <w:t xml:space="preserve">Об изменении контракта на выполнение работ по капитальному ремонту помещений по основаниям, предусмотренным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К</w:t>
      </w:r>
      <w:r>
        <w:rPr>
          <w:color w:val="000000"/>
        </w:rPr>
        <w:t xml:space="preserve">онтрольное управление Новосибирской области </w:t>
      </w:r>
      <w:r>
        <w:rPr>
          <w:color w:val="000000"/>
        </w:rPr>
        <w:t xml:space="preserve">(далее – </w:t>
      </w:r>
      <w:r>
        <w:rPr>
          <w:color w:val="000000"/>
        </w:rPr>
        <w:t xml:space="preserve">Контрольное у</w:t>
      </w:r>
      <w:r>
        <w:rPr>
          <w:color w:val="000000"/>
        </w:rPr>
        <w:t xml:space="preserve">правление)</w:t>
      </w:r>
      <w:r>
        <w:rPr>
          <w:color w:val="000000"/>
        </w:rPr>
        <w:t xml:space="preserve"> </w:t>
      </w:r>
      <w:r>
        <w:rPr>
          <w:color w:val="000000"/>
        </w:rPr>
        <w:t xml:space="preserve">по вопросу </w:t>
      </w:r>
      <w:r>
        <w:rPr>
          <w:color w:val="000000"/>
        </w:rPr>
        <w:t xml:space="preserve">предоставления разъяснений о возможности </w:t>
      </w:r>
      <w:r>
        <w:rPr>
          <w:color w:val="000000"/>
        </w:rPr>
        <w:t xml:space="preserve">внесения изменений</w:t>
      </w:r>
      <w:r>
        <w:rPr>
          <w:color w:val="000000"/>
        </w:rPr>
        <w:t xml:space="preserve"> в контракт на выполнение работ по капитальному </w:t>
      </w:r>
      <w:r>
        <w:rPr>
          <w:color w:val="000000"/>
        </w:rPr>
        <w:t xml:space="preserve">ремонту помещений </w:t>
      </w:r>
      <w:r>
        <w:rPr>
          <w:color w:val="000000"/>
        </w:rPr>
        <w:t xml:space="preserve">путем заключения </w:t>
      </w:r>
      <w:r>
        <w:rPr>
          <w:color w:val="000000"/>
        </w:rPr>
        <w:t xml:space="preserve">дополнительного соглашения к к</w:t>
      </w:r>
      <w:r>
        <w:rPr>
          <w:color w:val="000000"/>
        </w:rPr>
        <w:t xml:space="preserve">онтракту</w:t>
      </w:r>
      <w:r>
        <w:rPr>
          <w:color w:val="000000"/>
        </w:rPr>
        <w:t xml:space="preserve"> об изменении количества отдельных этапов на выполнение работ</w:t>
      </w:r>
      <w:r>
        <w:rPr>
          <w:color w:val="000000"/>
        </w:rPr>
        <w:t xml:space="preserve"> </w:t>
      </w:r>
      <w:r>
        <w:rPr>
          <w:color w:val="000000"/>
        </w:rPr>
        <w:t xml:space="preserve">по основаниям, предусмотренным </w:t>
      </w:r>
      <w:r>
        <w:rPr>
          <w:color w:val="000000"/>
        </w:rPr>
        <w:t xml:space="preserve">постановлени</w:t>
      </w:r>
      <w:r>
        <w:rPr>
          <w:color w:val="000000"/>
        </w:rPr>
        <w:t xml:space="preserve">ем</w:t>
      </w:r>
      <w:r>
        <w:rPr>
          <w:color w:val="000000"/>
        </w:rPr>
        <w:t xml:space="preserve"> Правительства Российской Федерации от </w:t>
      </w:r>
      <w:r>
        <w:rPr>
          <w:color w:val="000000"/>
        </w:rPr>
        <w:t xml:space="preserve">16.04.2022 № 680 «</w:t>
      </w:r>
      <w:r>
        <w:rPr>
          <w:color w:val="000000"/>
        </w:rPr>
        <w:t xml:space="preserve">Об установлении порядка и случаев изменения существенных условий</w:t>
      </w:r>
      <w:r>
        <w:rPr>
          <w:color w:val="000000"/>
        </w:rPr>
        <w:t xml:space="preserve"> </w:t>
      </w:r>
      <w:r>
        <w:rPr>
          <w:color w:val="000000"/>
        </w:rPr>
        <w:t xml:space="preserve">государственных и муниципальных контрактов, предметом которых является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выполнение работ по строительству, реконструкции, капитальному ремонту,</w:t>
      </w:r>
      <w:r>
        <w:rPr>
          <w:color w:val="000000"/>
        </w:rPr>
        <w:t xml:space="preserve"> </w:t>
      </w:r>
      <w:r>
        <w:rPr>
          <w:color w:val="000000"/>
        </w:rPr>
        <w:t xml:space="preserve">сносу объекта капитального строительства, проведение работ по сохранению</w:t>
      </w:r>
      <w:r>
        <w:rPr>
          <w:color w:val="000000"/>
        </w:rPr>
        <w:t xml:space="preserve"> объектов культурного наследия»</w:t>
      </w:r>
      <w:r>
        <w:rPr>
          <w:color w:val="000000"/>
        </w:rPr>
        <w:t xml:space="preserve"> (далее </w:t>
      </w:r>
      <w:r>
        <w:rPr>
          <w:color w:val="000000"/>
        </w:rPr>
        <w:t xml:space="preserve">– </w:t>
      </w:r>
      <w:r>
        <w:rPr>
          <w:color w:val="000000"/>
        </w:rPr>
        <w:t xml:space="preserve">Постановление № 680)</w:t>
      </w:r>
      <w:r>
        <w:rPr>
          <w:color w:val="000000"/>
        </w:rPr>
        <w:t xml:space="preserve">, сообщает следующее.</w:t>
      </w: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Частью 2 статьи 34 </w:t>
      </w:r>
      <w:r>
        <w:rPr>
          <w:rFonts w:eastAsia="Calibri"/>
          <w:lang w:eastAsia="ar-SA"/>
        </w:rPr>
        <w:t xml:space="preserve">Федеральн</w:t>
      </w:r>
      <w:r>
        <w:rPr>
          <w:rFonts w:eastAsia="Calibri"/>
          <w:lang w:eastAsia="ar-SA"/>
        </w:rPr>
        <w:t xml:space="preserve">ого</w:t>
      </w:r>
      <w:r>
        <w:rPr>
          <w:rFonts w:eastAsia="Calibri"/>
          <w:lang w:eastAsia="ar-SA"/>
        </w:rPr>
        <w:t xml:space="preserve"> закон</w:t>
      </w:r>
      <w:r>
        <w:rPr>
          <w:rFonts w:eastAsia="Calibri"/>
          <w:lang w:eastAsia="ar-SA"/>
        </w:rPr>
        <w:t xml:space="preserve">а</w:t>
      </w:r>
      <w:r>
        <w:rPr>
          <w:rFonts w:eastAsia="Calibri"/>
          <w:lang w:eastAsia="ar-SA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установлено, что при заключении и исполнении контракта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изменение его существенных условий не допускается, за исключением случаев, предусмотренных Законом</w:t>
      </w:r>
      <w:r>
        <w:rPr>
          <w:rFonts w:eastAsia="Calibri"/>
          <w:lang w:eastAsia="ar-SA"/>
        </w:rPr>
        <w:t xml:space="preserve"> №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44-ФЗ. Перечень случаев установлен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положениями </w:t>
      </w:r>
      <w:r>
        <w:rPr>
          <w:rFonts w:eastAsia="Calibri"/>
          <w:lang w:eastAsia="ar-SA"/>
        </w:rPr>
        <w:t xml:space="preserve">ч</w:t>
      </w:r>
      <w:r>
        <w:rPr>
          <w:rFonts w:eastAsia="Calibri"/>
          <w:lang w:eastAsia="ar-SA"/>
        </w:rPr>
        <w:t xml:space="preserve">асти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1 статьи 95 и част</w:t>
      </w:r>
      <w:r>
        <w:rPr>
          <w:rFonts w:eastAsia="Calibri"/>
          <w:lang w:eastAsia="ar-SA"/>
        </w:rPr>
        <w:t xml:space="preserve">ей</w:t>
      </w:r>
      <w:r>
        <w:rPr>
          <w:rFonts w:eastAsia="Calibri"/>
          <w:lang w:eastAsia="ar-SA"/>
        </w:rPr>
        <w:t xml:space="preserve"> 62</w:t>
      </w:r>
      <w:r>
        <w:rPr>
          <w:rFonts w:eastAsia="Calibri"/>
          <w:lang w:eastAsia="ar-SA"/>
        </w:rPr>
        <w:t xml:space="preserve">,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1, 65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2, 65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3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статьи 112 </w:t>
      </w:r>
      <w:r>
        <w:rPr>
          <w:rFonts w:eastAsia="Calibri"/>
          <w:lang w:eastAsia="ar-SA"/>
        </w:rPr>
        <w:t xml:space="preserve">указанного закона.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связи со сложившейся макроэкономической и внешнеполитической ситуацией в условиях внешнего санкционного давления со стороны иностранных государств, в целях установления гарантий для завершения строительства объектов капитального строительства, предотвращения возникновения новых объектов незавершенного строительства, а также для достижения показателей национальных целей в соответствии с пунктом 11 части 1 ст</w:t>
      </w:r>
      <w:r>
        <w:rPr>
          <w:rFonts w:eastAsia="Calibri"/>
          <w:lang w:eastAsia="ar-SA"/>
        </w:rPr>
        <w:t xml:space="preserve">атьи 18 Федерального закона от 08.03.2022 № 46-ФЗ «</w:t>
      </w:r>
      <w:r>
        <w:rPr>
          <w:rFonts w:eastAsia="Calibri"/>
          <w:lang w:eastAsia="ar-SA"/>
        </w:rPr>
        <w:t xml:space="preserve">О внесении изменений в отдельные законодател</w:t>
      </w:r>
      <w:r>
        <w:rPr>
          <w:rFonts w:eastAsia="Calibri"/>
          <w:lang w:eastAsia="ar-SA"/>
        </w:rPr>
        <w:t xml:space="preserve">ьные акты Российской Федерации»</w:t>
      </w:r>
      <w:r>
        <w:rPr>
          <w:rFonts w:eastAsia="Calibri"/>
          <w:lang w:eastAsia="ar-SA"/>
        </w:rPr>
        <w:t xml:space="preserve"> Правительство</w:t>
      </w:r>
      <w:r>
        <w:rPr>
          <w:rFonts w:eastAsia="Calibri"/>
          <w:lang w:eastAsia="ar-SA"/>
        </w:rPr>
        <w:t xml:space="preserve">м Российской Федерации принято П</w:t>
      </w:r>
      <w:r>
        <w:rPr>
          <w:rFonts w:eastAsia="Calibri"/>
          <w:lang w:eastAsia="ar-SA"/>
        </w:rPr>
        <w:t xml:space="preserve">остановление </w:t>
      </w:r>
      <w:r>
        <w:rPr>
          <w:rFonts w:eastAsia="Calibri"/>
          <w:lang w:eastAsia="ar-SA"/>
        </w:rPr>
        <w:t xml:space="preserve">№ </w:t>
      </w:r>
      <w:r>
        <w:rPr>
          <w:rFonts w:eastAsia="Calibri"/>
          <w:lang w:eastAsia="ar-SA"/>
        </w:rPr>
        <w:t xml:space="preserve">680</w:t>
      </w:r>
      <w:r>
        <w:rPr>
          <w:rFonts w:eastAsia="Calibri"/>
          <w:lang w:eastAsia="ar-SA"/>
        </w:rPr>
        <w:t xml:space="preserve">. </w:t>
      </w:r>
    </w:p>
    <w:p>
      <w:pPr>
        <w:pStyle w:val="Normal"/>
        <w:widowControl w:val="off"/>
        <w:ind w:firstLine="709"/>
        <w:jc w:val="both"/>
        <w:rPr>
          <w:rFonts w:eastAsia="Calibri"/>
          <w:highlight w:val="yellow"/>
          <w:lang w:eastAsia="ar-SA"/>
        </w:rPr>
      </w:pPr>
      <w:r>
        <w:rPr>
          <w:rFonts w:eastAsia="Calibri"/>
          <w:lang w:eastAsia="ar-SA"/>
        </w:rPr>
        <w:t xml:space="preserve">С</w:t>
      </w:r>
      <w:r>
        <w:rPr>
          <w:rFonts w:eastAsia="Calibri"/>
          <w:lang w:eastAsia="ar-SA"/>
        </w:rPr>
        <w:t xml:space="preserve">огласно пункту 1 П</w:t>
      </w:r>
      <w:r>
        <w:rPr>
          <w:rFonts w:eastAsia="Calibri"/>
          <w:lang w:eastAsia="ar-SA"/>
        </w:rPr>
        <w:t xml:space="preserve">остановления 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№ 680 </w:t>
      </w:r>
      <w:r>
        <w:rPr>
          <w:rFonts w:eastAsia="Calibri"/>
          <w:lang w:eastAsia="ar-SA"/>
        </w:rPr>
        <w:t xml:space="preserve">при возникновении в ходе исполнения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государственных и муниципальных контрактов, предметом которых является выполнение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работ по строительству, реконструкции, капитальному ремонту, сносу объекта капитального строительства,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проведение работ по сохранению объектов культурного наследия, независящих от сторон контракта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обстоятельств, влекущих невозможность его </w:t>
      </w:r>
      <w:r>
        <w:rPr>
          <w:rFonts w:eastAsia="Calibri"/>
          <w:lang w:eastAsia="ar-SA"/>
        </w:rPr>
        <w:t xml:space="preserve">исполнения, </w:t>
      </w:r>
      <w:r>
        <w:rPr>
          <w:rFonts w:eastAsia="Calibri"/>
          <w:lang w:eastAsia="ar-SA"/>
        </w:rPr>
        <w:t xml:space="preserve">в 2022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–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2024</w:t>
      </w:r>
      <w:r>
        <w:rPr>
          <w:rFonts w:eastAsia="Calibri"/>
          <w:lang w:eastAsia="ar-SA"/>
        </w:rPr>
        <w:t xml:space="preserve"> годах </w:t>
      </w:r>
      <w:r>
        <w:rPr>
          <w:rFonts w:eastAsia="Calibri"/>
          <w:lang w:eastAsia="ar-SA"/>
        </w:rPr>
        <w:t xml:space="preserve">допускаются изменения существенных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условий контракта, перечисленные в данном пункте.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Так, подпунктами «г» и «е»</w:t>
      </w:r>
      <w:r>
        <w:rPr>
          <w:rFonts w:eastAsia="Calibri"/>
          <w:lang w:eastAsia="ar-SA"/>
        </w:rPr>
        <w:t xml:space="preserve"> пункта 1 П</w:t>
      </w:r>
      <w:r>
        <w:rPr>
          <w:rFonts w:eastAsia="Calibri"/>
          <w:lang w:eastAsia="ar-SA"/>
        </w:rPr>
        <w:t xml:space="preserve">остановления №</w:t>
      </w:r>
      <w:r>
        <w:rPr>
          <w:rFonts w:eastAsia="Calibri"/>
          <w:lang w:eastAsia="ar-SA"/>
        </w:rPr>
        <w:t xml:space="preserve"> 680 предусмотрена возможность изменения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отдельных этапов исполнения контракта, в том числе наименования, состава, объемов и видов работ, цены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отдельного этапа исполнения контракта, а также изменения порядка приемки и оплаты отдельного этапа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исполнения контракта, результатов выполненных работ.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highlight w:val="yellow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Согласно позиции </w:t>
      </w:r>
      <w:r>
        <w:rPr>
          <w:rFonts w:eastAsia="Calibri"/>
          <w:lang w:eastAsia="ar-SA"/>
        </w:rPr>
        <w:t xml:space="preserve">мин</w:t>
      </w:r>
      <w:r>
        <w:rPr>
          <w:rFonts w:eastAsia="Calibri"/>
          <w:lang w:eastAsia="ar-SA"/>
        </w:rPr>
        <w:t xml:space="preserve">истерства финансов Российской Ф</w:t>
      </w:r>
      <w:r>
        <w:rPr>
          <w:rFonts w:eastAsia="Calibri"/>
          <w:lang w:eastAsia="ar-SA"/>
        </w:rPr>
        <w:t xml:space="preserve">едерации</w:t>
      </w:r>
      <w:r>
        <w:rPr>
          <w:rFonts w:eastAsia="Calibri"/>
          <w:lang w:eastAsia="ar-SA"/>
        </w:rPr>
        <w:t xml:space="preserve">              (далее – Минфин России), изложенной в письме от 14.06.2022 № </w:t>
      </w:r>
      <w:r>
        <w:rPr>
          <w:rFonts w:eastAsia="Calibri"/>
          <w:lang w:eastAsia="ar-SA"/>
        </w:rPr>
        <w:t xml:space="preserve">24-06-08/56085</w:t>
      </w:r>
      <w:r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 xml:space="preserve">так как</w:t>
      </w:r>
      <w:r>
        <w:rPr>
          <w:rFonts w:eastAsia="Calibri"/>
          <w:lang w:eastAsia="ar-SA"/>
        </w:rPr>
        <w:t xml:space="preserve"> указанный </w:t>
      </w:r>
      <w:r>
        <w:rPr>
          <w:rFonts w:eastAsia="Calibri"/>
          <w:lang w:eastAsia="ar-SA"/>
        </w:rPr>
        <w:t xml:space="preserve">в Постановлении № 680 </w:t>
      </w:r>
      <w:r>
        <w:rPr>
          <w:rFonts w:eastAsia="Calibri"/>
          <w:lang w:eastAsia="ar-SA"/>
        </w:rPr>
        <w:t xml:space="preserve">перечень изменений отдельных этапов исполнения контракта не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является исчерпывающим, </w:t>
      </w:r>
      <w:r>
        <w:rPr>
          <w:rFonts w:eastAsia="Calibri"/>
          <w:lang w:eastAsia="ar-SA"/>
        </w:rPr>
        <w:t xml:space="preserve">возможно изменение также и количества отдельных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этапов исполнен</w:t>
      </w:r>
      <w:r>
        <w:rPr>
          <w:rFonts w:eastAsia="Calibri"/>
          <w:lang w:eastAsia="ar-SA"/>
        </w:rPr>
        <w:t xml:space="preserve">ия контракта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 Кроме того,</w:t>
      </w:r>
      <w:r>
        <w:rPr>
          <w:rFonts w:eastAsia="Calibri"/>
          <w:lang w:eastAsia="ar-SA"/>
        </w:rPr>
        <w:t xml:space="preserve"> Минфин России</w:t>
      </w:r>
      <w:r>
        <w:rPr>
          <w:rFonts w:eastAsia="Calibri"/>
          <w:lang w:eastAsia="ar-SA"/>
        </w:rPr>
        <w:t xml:space="preserve"> в письме от 12.07.2022 № 24-01-07/66840 обра</w:t>
      </w:r>
      <w:r>
        <w:rPr>
          <w:rFonts w:eastAsia="Calibri"/>
          <w:lang w:eastAsia="ar-SA"/>
        </w:rPr>
        <w:t xml:space="preserve">тил</w:t>
      </w:r>
      <w:r>
        <w:rPr>
          <w:rFonts w:eastAsia="Calibri"/>
          <w:lang w:eastAsia="ar-SA"/>
        </w:rPr>
        <w:t xml:space="preserve"> внимание, что на основании </w:t>
      </w:r>
      <w:r>
        <w:rPr>
          <w:rFonts w:eastAsia="Calibri"/>
          <w:lang w:eastAsia="ar-SA"/>
        </w:rPr>
        <w:t xml:space="preserve">Постановления № 680 </w:t>
      </w:r>
      <w:r>
        <w:rPr>
          <w:rFonts w:eastAsia="Calibri"/>
          <w:lang w:eastAsia="ar-SA"/>
        </w:rPr>
        <w:t xml:space="preserve">не могут быть изменены существенные условия заключенных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соответствии с Законом </w:t>
      </w:r>
      <w:r>
        <w:rPr>
          <w:rFonts w:eastAsia="Calibri"/>
          <w:lang w:eastAsia="ar-SA"/>
        </w:rPr>
        <w:t xml:space="preserve">№ 44-ФЗ контрактов, не являющихся государственными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 муниципальными контрактами </w:t>
      </w:r>
      <w:r>
        <w:rPr>
          <w:rFonts w:eastAsia="Calibri"/>
          <w:lang w:eastAsia="ar-SA"/>
        </w:rPr>
        <w:t xml:space="preserve">(то есть заключенных заказчиками, не являющимися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государственными и муниципальными заказчиками).</w:t>
      </w:r>
      <w:r>
        <w:rPr>
          <w:rFonts w:eastAsia="Calibri"/>
          <w:lang w:eastAsia="ar-SA"/>
        </w:rPr>
        <w:t xml:space="preserve"> </w:t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соответствии с п.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5 ч.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1 статьи 3 </w:t>
      </w:r>
      <w:r>
        <w:rPr>
          <w:rFonts w:eastAsia="Calibri"/>
          <w:lang w:eastAsia="ar-SA"/>
        </w:rPr>
        <w:t xml:space="preserve">Закона № 44-ФЗ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государственны</w:t>
      </w:r>
      <w:r>
        <w:rPr>
          <w:rFonts w:eastAsia="Calibri"/>
          <w:lang w:eastAsia="ar-SA"/>
        </w:rPr>
        <w:t xml:space="preserve">м заказчиком является</w:t>
      </w:r>
      <w:r>
        <w:rPr>
          <w:rFonts w:eastAsia="Calibri"/>
          <w:lang w:eastAsia="ar-SA"/>
        </w:rPr>
        <w:t xml:space="preserve"> государственный орган (в том числе орган государственной власти), Государственная корпорация по атомной энергии </w:t>
      </w:r>
      <w:r>
        <w:rPr>
          <w:rFonts w:eastAsia="Calibri"/>
          <w:lang w:eastAsia="ar-SA"/>
        </w:rPr>
        <w:t xml:space="preserve">«</w:t>
      </w:r>
      <w:r>
        <w:rPr>
          <w:rFonts w:eastAsia="Calibri"/>
          <w:lang w:eastAsia="ar-SA"/>
        </w:rPr>
        <w:t xml:space="preserve">Росатом</w:t>
      </w:r>
      <w:r>
        <w:rPr>
          <w:rFonts w:eastAsia="Calibri"/>
          <w:lang w:eastAsia="ar-SA"/>
        </w:rPr>
        <w:t xml:space="preserve">»</w:t>
      </w:r>
      <w:r>
        <w:rPr>
          <w:rFonts w:eastAsia="Calibri"/>
          <w:lang w:eastAsia="ar-SA"/>
        </w:rPr>
        <w:t xml:space="preserve">, Государственная корпорация по космической деятельности </w:t>
      </w:r>
      <w:r>
        <w:rPr>
          <w:rFonts w:eastAsia="Calibri"/>
          <w:lang w:eastAsia="ar-SA"/>
        </w:rPr>
        <w:t xml:space="preserve">«</w:t>
      </w:r>
      <w:r>
        <w:rPr>
          <w:rFonts w:eastAsia="Calibri"/>
          <w:lang w:eastAsia="ar-SA"/>
        </w:rPr>
        <w:t xml:space="preserve">Роскосмос</w:t>
      </w:r>
      <w:r>
        <w:rPr>
          <w:rFonts w:eastAsia="Calibri"/>
          <w:lang w:eastAsia="ar-SA"/>
        </w:rPr>
        <w:t xml:space="preserve">»</w:t>
      </w:r>
      <w:r>
        <w:rPr>
          <w:rFonts w:eastAsia="Calibri"/>
          <w:lang w:eastAsia="ar-SA"/>
        </w:rPr>
        <w:t xml:space="preserve">, публично-правовая компания </w:t>
      </w:r>
      <w:r>
        <w:rPr>
          <w:rFonts w:eastAsia="Calibri"/>
          <w:lang w:eastAsia="ar-SA"/>
        </w:rPr>
        <w:t xml:space="preserve">«</w:t>
      </w:r>
      <w:r>
        <w:rPr>
          <w:rFonts w:eastAsia="Calibri"/>
          <w:lang w:eastAsia="ar-SA"/>
        </w:rPr>
        <w:t xml:space="preserve">Единый заказчик в сфере строительства</w:t>
      </w:r>
      <w:r>
        <w:rPr>
          <w:rFonts w:eastAsia="Calibri"/>
          <w:lang w:eastAsia="ar-SA"/>
        </w:rPr>
        <w:t xml:space="preserve">»</w:t>
      </w:r>
      <w:r>
        <w:rPr>
          <w:rFonts w:eastAsia="Calibri"/>
          <w:lang w:eastAsia="ar-SA"/>
        </w:rPr>
        <w:t xml:space="preserve">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</w:t>
      </w:r>
      <w:r>
        <w:rPr>
          <w:rFonts w:eastAsia="Calibri"/>
          <w:lang w:eastAsia="ar-SA"/>
        </w:rPr>
        <w:t xml:space="preserve">ерации и осуществляющие закупки. 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sz w:val="20"/>
          <w:szCs w:val="20"/>
        </w:rPr>
      </w:pPr>
      <w:r>
        <w:rPr>
          <w:rFonts w:eastAsia="Calibri"/>
          <w:lang w:eastAsia="ar-SA"/>
        </w:rPr>
        <w:t xml:space="preserve">В свою очередь</w:t>
      </w:r>
      <w:r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 xml:space="preserve">Контрольное управление </w:t>
      </w:r>
      <w:r>
        <w:rPr>
          <w:rFonts w:eastAsia="Calibri"/>
          <w:lang w:eastAsia="ar-SA"/>
        </w:rPr>
        <w:t xml:space="preserve">отмечает, что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отношении контрактов, существенные условия которых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не могут быть изменены в соответствии с Постановлением № 680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связи с тем, что они не являются государственными и муниципальными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контрактами, может быть ра</w:t>
      </w:r>
      <w:r>
        <w:rPr>
          <w:rFonts w:eastAsia="Calibri"/>
          <w:lang w:eastAsia="ar-SA"/>
        </w:rPr>
        <w:t xml:space="preserve">ссмотрен вопрос об изменении </w:t>
      </w:r>
      <w:r>
        <w:rPr>
          <w:rFonts w:eastAsia="Calibri"/>
          <w:lang w:eastAsia="ar-SA"/>
        </w:rPr>
        <w:t xml:space="preserve">существенных условий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таких контрактов </w:t>
      </w:r>
      <w:r>
        <w:rPr>
          <w:rFonts w:eastAsia="Calibri"/>
          <w:lang w:eastAsia="ar-SA"/>
        </w:rPr>
        <w:t xml:space="preserve">на основании положений части 65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1 статьи 112 Закона № 44-ФЗ.</w:t>
      </w:r>
      <w:r>
        <w:rPr>
          <w:sz w:val="20"/>
          <w:szCs w:val="20"/>
        </w:rPr>
        <w:t xml:space="preserve"> </w:t>
      </w:r>
    </w:p>
    <w:sectPr>
      <w:headerReference w:type="default" r:id="rId7"/>
      <w:type w:val="nextPage"/>
      <w:pgSz w:w="11906" w:h="16838"/>
      <w:pgMar w:top="1276" w:right="567" w:bottom="1134" w:left="1418" w:header="1134" w:footer="782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Верхний колонтитул Знак"/>
    <w:next w:val="UserStyle_0"/>
    <w:link w:val="Header"/>
    <w:uiPriority w:val="99"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BodyText2">
    <w:name w:val="Основной текст 2"/>
    <w:basedOn w:val="Normal"/>
    <w:next w:val="BodyText2"/>
    <w:link w:val="UserStyle_1"/>
    <w:pPr>
      <w:jc w:val="both"/>
    </w:pPr>
  </w:style>
  <w:style w:type="character" w:styleId="UserStyle_1">
    <w:name w:val="Основной текст 2 Знак"/>
    <w:next w:val="UserStyle_1"/>
    <w:link w:val="BodyText2"/>
    <w:rPr>
      <w:sz w:val="28"/>
      <w:szCs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2"/>
    <w:pPr>
      <w:jc w:val="center"/>
    </w:pPr>
    <w:rPr>
      <w:b/>
      <w:bCs/>
    </w:rPr>
  </w:style>
  <w:style w:type="character" w:styleId="UserStyle_2">
    <w:name w:val="Основной текст 3 Знак"/>
    <w:next w:val="UserStyle_2"/>
    <w:link w:val="BodyText3"/>
    <w:rPr>
      <w:b/>
      <w:bCs/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Block Text"/>
    <w:basedOn w:val="Normal"/>
    <w:next w:val="UserStyle_3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5">
    <w:name w:val="Default"/>
    <w:next w:val="UserStyle_5"/>
    <w:link w:val="Normal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UserStyle_6">
    <w:name w:val="Style5"/>
    <w:basedOn w:val="Normal"/>
    <w:next w:val="UserStyle_6"/>
    <w:link w:val="Normal"/>
    <w:uiPriority w:val="99"/>
    <w:pPr>
      <w:widowControl w:val="off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character" w:styleId="UserStyle_7">
    <w:name w:val="Font Style14"/>
    <w:next w:val="UserStyle_7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8">
    <w:name w:val="Font Style15"/>
    <w:next w:val="UserStyle_8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9">
    <w:name w:val="ConsPlusNormal"/>
    <w:next w:val="UserStyle_9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0">
    <w:name w:val="Официальный"/>
    <w:basedOn w:val="Normal"/>
    <w:next w:val="UserStyle_10"/>
    <w:link w:val="Normal"/>
    <w:qFormat/>
    <w:pPr>
      <w:ind w:firstLine="709"/>
    </w:pPr>
    <w:rPr>
      <w:rFonts w:eastAsia="Calibri"/>
      <w:szCs w:val="22"/>
      <w:lang w:eastAsia="en-US"/>
    </w:rPr>
  </w:style>
  <w:style w:type="character" w:styleId="UserStyle_11">
    <w:name w:val="gwt-inlinelabel"/>
    <w:next w:val="UserStyle_11"/>
    <w:link w:val="Normal"/>
  </w:style>
  <w:style w:type="character" w:styleId="UserStyle_12">
    <w:name w:val="Цветовое выделение"/>
    <w:next w:val="UserStyle_12"/>
    <w:link w:val="Normal"/>
    <w:uiPriority w:val="99"/>
    <w:rPr>
      <w:b/>
      <w:bCs/>
      <w:color w:val="26282f"/>
    </w:rPr>
  </w:style>
  <w:style w:type="character" w:styleId="UserStyle_13">
    <w:name w:val="Неразрешенное упоминание"/>
    <w:next w:val="UserStyle_13"/>
    <w:link w:val="Normal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Просмотренная гиперссылка"/>
    <w:next w:val="FollowedHyperlink"/>
    <w:link w:val="Normal"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4357</Characters>
  <CharactersWithSpaces>5111</CharactersWithSpaces>
  <Company>АГНОиПНО</Company>
  <DocSecurity>0</DocSecurity>
  <HyperlinksChanged>false</HyperlinksChanged>
  <Lines>36</Lines>
  <Pages>2</Pages>
  <Paragraphs>10</Paragraphs>
  <ScaleCrop>false</ScaleCrop>
  <SharedDoc>false</SharedDoc>
  <Template>Normal</Template>
  <Words>764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73</cp:revision>
  <dcterms:created xsi:type="dcterms:W3CDTF">2023-02-22T08:50:00Z</dcterms:created>
  <dcterms:modified xsi:type="dcterms:W3CDTF">2025-01-23T01:53:00Z</dcterms:modified>
  <cp:version>1048576</cp:version>
</cp:coreProperties>
</file>