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ind w:right="20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haracter">
                  <wp:posOffset>3833495</wp:posOffset>
                </wp:positionH>
                <wp:positionV relativeFrom="paragraph">
                  <wp:posOffset>98425</wp:posOffset>
                </wp:positionV>
                <wp:extent cx="3110230" cy="25146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31102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char;margin-left:301.85pt;mso-position-horizontal:absolute;mso-position-vertical-relative:text;margin-top:7.75pt;mso-position-vertical:absolute;width:244.90pt;height:19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pStyle w:val="Normal"/>
        <w:ind w:right="201"/>
      </w:pPr>
    </w:p>
    <w:p>
      <w:pPr>
        <w:pStyle w:val="Normal"/>
        <w:jc w:val="center"/>
      </w:pPr>
      <w:r>
        <w:t xml:space="preserve">Уважаемые коллеги!</w:t>
      </w:r>
    </w:p>
    <w:p>
      <w:pPr>
        <w:pStyle w:val="Normal"/>
        <w:jc w:val="both"/>
      </w:pPr>
    </w:p>
    <w:p>
      <w:pPr>
        <w:pStyle w:val="Normal"/>
        <w:ind w:firstLine="709"/>
        <w:jc w:val="both"/>
      </w:pPr>
      <w:r>
        <w:t xml:space="preserve">В соответствии с частью 13.1 статьи 34 Федерального закона от 05.04.2013 № 44-ФЗ «</w:t>
      </w:r>
      <w:r>
        <w:rPr>
          <w:rFonts w:eastAsia="Calibri"/>
        </w:rPr>
        <w:t xml:space="preserve">О контрактной системе в сфере закупок товаров, работ, услуг для обеспечения государственных и муниципальных нужд» (далее – Закон № 44-ФЗ) с учетом положений пункта 11 статьи 6 Федерального закона от 16.04.2022     № 104-ФЗ «О внесении изменений в отдельные законодательные акты Российской Федерации» срок оплаты государственными и муниципальными заказчиками Новосибирской области поставленного товара, результата выполненной работы, оказанной услуги, отдельных этапов исполнения контракта по контрактам:</w:t>
      </w:r>
    </w:p>
    <w:p>
      <w:pPr>
        <w:pStyle w:val="Normal"/>
        <w:ind w:firstLine="709"/>
        <w:jc w:val="both"/>
      </w:pPr>
      <w:r>
        <w:rPr>
          <w:rFonts w:eastAsia="Calibri"/>
        </w:rPr>
        <w:t xml:space="preserve">- извещения об осуществлении закупок которых размещены в Единой информационной системе в сфере закупок либо приглашения принять участие в закупках направлены с </w:t>
      </w:r>
      <w:r>
        <w:rPr>
          <w:rFonts w:eastAsia="Calibri"/>
          <w:i/>
        </w:rPr>
        <w:t xml:space="preserve">01.07.2022</w:t>
      </w:r>
      <w:r>
        <w:rPr>
          <w:rFonts w:eastAsia="Calibri"/>
        </w:rPr>
        <w:t xml:space="preserve">, </w:t>
      </w:r>
    </w:p>
    <w:p>
      <w:pPr>
        <w:pStyle w:val="Normal"/>
        <w:ind w:firstLine="709"/>
        <w:jc w:val="both"/>
      </w:pPr>
      <w:r>
        <w:rPr>
          <w:rFonts w:eastAsia="Calibri"/>
        </w:rPr>
        <w:t xml:space="preserve">- заключенным с единственными поставщиками (подрядчиками, исполнителями) с </w:t>
      </w:r>
      <w:r>
        <w:rPr>
          <w:rFonts w:eastAsia="Calibri"/>
          <w:i/>
        </w:rPr>
        <w:t xml:space="preserve">01.07.2022</w:t>
      </w:r>
    </w:p>
    <w:p>
      <w:pPr>
        <w:pStyle w:val="Normal"/>
        <w:ind w:firstLine="709"/>
        <w:jc w:val="both"/>
      </w:pPr>
      <w:r>
        <w:rPr>
          <w:rFonts w:eastAsia="Calibri"/>
        </w:rPr>
        <w:t xml:space="preserve">составляет </w:t>
      </w:r>
      <w:r>
        <w:rPr>
          <w:rFonts w:eastAsia="Calibri"/>
          <w:i/>
        </w:rPr>
        <w:t xml:space="preserve">не более семи рабочих дней</w:t>
      </w:r>
      <w:r>
        <w:rPr>
          <w:rFonts w:eastAsia="Calibri"/>
        </w:rPr>
        <w:t xml:space="preserve"> с даты подписания заказчиком документа о приемке, за исключением случаев, предусмотренных частью 13.1 статьи 34 Закона № 44-ФЗ.</w:t>
      </w:r>
    </w:p>
    <w:p>
      <w:pPr>
        <w:pStyle w:val="Normal"/>
        <w:ind w:firstLine="709"/>
        <w:jc w:val="both"/>
      </w:pPr>
      <w:r>
        <w:t xml:space="preserve">За </w:t>
      </w:r>
      <w:r>
        <w:rPr>
          <w:rFonts w:eastAsia="Calibri"/>
        </w:rPr>
        <w:t xml:space="preserve">нарушение заказчиком срока оплаты товаров (работ, услуг) при осуществлении закупок для обеспечения государственных и муниципальных нужд с</w:t>
      </w:r>
      <w:r>
        <w:t xml:space="preserve">татьей 7.32.5 Кодекса Российской Федерации об административных правонарушениях </w:t>
      </w:r>
      <w:r>
        <w:t xml:space="preserve">(далее – КоАП РФ) предусмотрена административная ответственность для должностного лица заказчика: впервые привлеченного за указанное правонарушение – </w:t>
      </w:r>
      <w:r>
        <w:rPr>
          <w:rFonts w:eastAsia="Calibri"/>
        </w:rPr>
        <w:t xml:space="preserve">в виде административного штрафа в размере от 30 тысяч до 50 тысяч рублей, повторно – в виде дисквалификации на срок от одного года до двух лет.</w:t>
      </w:r>
    </w:p>
    <w:p>
      <w:pPr>
        <w:pStyle w:val="Normal"/>
        <w:ind w:firstLine="709"/>
        <w:jc w:val="both"/>
      </w:pPr>
      <w:r>
        <w:rPr>
          <w:rFonts w:eastAsia="Calibri"/>
        </w:rPr>
        <w:t xml:space="preserve">В целях предотвращения </w:t>
      </w:r>
      <w:r>
        <w:t xml:space="preserve">нарушений сроков оплаты товаров (работ, услуг) государственными заказчиками Новосибирской области и муниципальными заказчиками Новосибирской области, в том числе являющимися получателями межбюджетных трансфертов из областного бюджета Новосибирской области, контрольным управлением Новосибирской области (далее – Управление) проведен анализ содержания соглашений о предоставлении из областного бюджета Новосибирской области субсидий на реализацию мероприятий государственных программ Новосибирской области.</w:t>
      </w:r>
    </w:p>
    <w:p>
      <w:pPr>
        <w:pStyle w:val="Normal"/>
        <w:ind w:firstLine="709"/>
        <w:jc w:val="both"/>
      </w:pPr>
      <w:r>
        <w:t xml:space="preserve">По результатам анализа установлено, что областными исполнительными органами государственной власти Новосибирской области (далее – ОИОГВ НСО) в рамках реализации государственных программ Новосибирской области:</w:t>
      </w:r>
    </w:p>
    <w:p>
      <w:pPr>
        <w:pStyle w:val="Normal"/>
        <w:ind w:firstLine="709"/>
        <w:jc w:val="both"/>
      </w:pPr>
      <w:r>
        <w:t xml:space="preserve">- развитие здравоохранения Новосибирской области (постановление Правительства Новосибирской области от 07.05.2013 № 199-п); </w:t>
      </w:r>
    </w:p>
    <w:p>
      <w:pPr>
        <w:pStyle w:val="Normal"/>
        <w:ind w:firstLine="709"/>
        <w:jc w:val="both"/>
      </w:pPr>
      <w:r>
        <w:t xml:space="preserve">- обеспечение жильем молодых семей в Новосибирской области (постановление Правительства Новосибирской области от 15.09.2014 № 352-п);</w:t>
      </w:r>
    </w:p>
    <w:p>
      <w:pPr>
        <w:pStyle w:val="Normal"/>
        <w:ind w:firstLine="709"/>
        <w:jc w:val="both"/>
      </w:pPr>
      <w:r>
        <w:t xml:space="preserve">- развитие системы обращения с отходами производства и потребления в Новосибирской области (постановление Правительства Новосибирской области от 19.01.2015 № 10-п); </w:t>
      </w:r>
    </w:p>
    <w:p>
      <w:pPr>
        <w:pStyle w:val="Normal"/>
        <w:ind w:firstLine="709"/>
        <w:jc w:val="both"/>
      </w:pPr>
      <w:r>
        <w:t xml:space="preserve">- развитие автомобильных дорог регионального, межмуниципального и местного значения в Новосибирской области (постановление Правительства Новосибирской области от 23.01.2015 № 22-п); </w:t>
      </w:r>
    </w:p>
    <w:p>
      <w:pPr>
        <w:pStyle w:val="Normal"/>
        <w:ind w:firstLine="709"/>
        <w:jc w:val="both"/>
      </w:pPr>
      <w:r>
        <w:t xml:space="preserve">- жилищно-коммунальное хозяйство Новосибирской области (постановление Правительства Новосибирской области от 16.02.2015 № 66-п);</w:t>
      </w:r>
    </w:p>
    <w:p>
      <w:pPr>
        <w:pStyle w:val="Normal"/>
        <w:ind w:firstLine="709"/>
        <w:jc w:val="both"/>
      </w:pPr>
      <w:r>
        <w:t xml:space="preserve">- энергосбережение и повышение энергетической эффективности Новосибирской области (постановление Правительства Новосибирской области от 16.03.2015 № 89-п)</w:t>
      </w:r>
    </w:p>
    <w:p>
      <w:pPr>
        <w:pStyle w:val="Normal"/>
        <w:ind w:firstLine="709"/>
        <w:jc w:val="both"/>
      </w:pPr>
      <w:r>
        <w:t xml:space="preserve">заключаются соглашения о предоставлении из областного бюджета Новосибирской области субсидий, конечными получателями которых являются в том числе муниципальные заказчики Новосибирской области, </w:t>
      </w:r>
      <w:r>
        <w:rPr>
          <w:i/>
        </w:rPr>
        <w:t xml:space="preserve">содержащие условия о сроках предоставления субсидии, зависимых от факта приемки</w:t>
      </w:r>
      <w:r>
        <w:t xml:space="preserve"> </w:t>
      </w:r>
      <w:r>
        <w:rPr>
          <w:i/>
        </w:rPr>
        <w:t xml:space="preserve">заказчиком </w:t>
      </w:r>
      <w:r>
        <w:rPr>
          <w:rFonts w:eastAsia="Calibri"/>
        </w:rPr>
        <w:t xml:space="preserve">поставленного товара, результата выполненной работы, оказанной услуги, отдельных этапов исполнения заключенных контрактов, например:</w:t>
      </w:r>
    </w:p>
    <w:p>
      <w:pPr>
        <w:pStyle w:val="Normal"/>
        <w:ind w:firstLine="709"/>
        <w:jc w:val="both"/>
      </w:pPr>
      <w:r>
        <w:t xml:space="preserve">- решение о перечислении субсидии принимается ОИОГВ НСО после проверки представленных получателем документов на предмет соответствия указанных в них кассовых расходов целям предоставления субсидии </w:t>
      </w:r>
      <w:r>
        <w:rPr>
          <w:i/>
        </w:rPr>
        <w:t xml:space="preserve">в течение 15 рабочих дней</w:t>
      </w:r>
      <w:r>
        <w:t xml:space="preserve"> со дня поступления таких документов;</w:t>
      </w:r>
    </w:p>
    <w:p>
      <w:pPr>
        <w:pStyle w:val="Normal"/>
        <w:ind w:firstLine="709"/>
        <w:jc w:val="both"/>
      </w:pPr>
      <w:r>
        <w:t xml:space="preserve"> - субсидия предоставляется</w:t>
      </w:r>
      <w:r>
        <w:rPr>
          <w:b/>
        </w:rPr>
        <w:t xml:space="preserve"> </w:t>
      </w:r>
      <w:r>
        <w:rPr>
          <w:i/>
        </w:rPr>
        <w:t xml:space="preserve">ежемесячно</w:t>
      </w:r>
      <w:r>
        <w:t xml:space="preserve"> в соответствии с заявкой на предоставление субсидии в соответствии с фактической потребностью в финансировании путем перечисления на лицевой счет получателя. При этом, заявка предоставляется получателем </w:t>
      </w:r>
      <w:r>
        <w:rPr>
          <w:i/>
        </w:rPr>
        <w:t xml:space="preserve">не позднее 10 числа текущего месяца</w:t>
      </w:r>
      <w:r>
        <w:t xml:space="preserve"> финансирования, к</w:t>
      </w:r>
      <w:r>
        <w:rPr>
          <w:color w:val="ff0000"/>
        </w:rPr>
        <w:t xml:space="preserve"> </w:t>
      </w:r>
      <w:r>
        <w:t xml:space="preserve">заявке должны быть приложены документы, подтверждающие приемку;</w:t>
      </w:r>
      <w:r>
        <w:rPr>
          <w:color w:val="ff0000"/>
        </w:rPr>
        <w:t xml:space="preserve">  </w:t>
      </w:r>
    </w:p>
    <w:p>
      <w:pPr>
        <w:pStyle w:val="Normal"/>
        <w:ind w:firstLine="709"/>
        <w:jc w:val="both"/>
      </w:pPr>
      <w:r>
        <w:t xml:space="preserve">- субсидия предоставляется </w:t>
      </w:r>
      <w:r>
        <w:rPr>
          <w:i/>
        </w:rPr>
        <w:t xml:space="preserve">ежемесячно, после 15 числа по мере фактического выполнения работ</w:t>
      </w:r>
      <w:r>
        <w:rPr>
          <w:b/>
        </w:rPr>
        <w:t xml:space="preserve"> </w:t>
      </w:r>
      <w:r>
        <w:t xml:space="preserve">и предоставления в адрес ОИОГВ НСО заявки на финансирование с приложением копий документов, подтверждающих приемку.</w:t>
      </w:r>
    </w:p>
    <w:p>
      <w:pPr>
        <w:pStyle w:val="Normal"/>
        <w:ind w:firstLine="709"/>
        <w:jc w:val="both"/>
      </w:pPr>
      <w:r>
        <w:t xml:space="preserve">На основании приведенных примеров очевидно, что наличие в соглашениях о предоставлении из областного бюджета Новосибирской области субсидий вышеуказанных или схожих условий о сроках предоставления субсидии на основании документов, подтверждающих приемку, несет в себе</w:t>
      </w:r>
      <w:r>
        <w:rPr>
          <w:i/>
        </w:rPr>
        <w:t xml:space="preserve"> риски просрочки заказчиком</w:t>
      </w:r>
      <w:r>
        <w:t xml:space="preserve"> – конечным получателем субсидии срока </w:t>
      </w:r>
      <w:r>
        <w:rPr>
          <w:rFonts w:eastAsia="Calibri"/>
        </w:rPr>
        <w:t xml:space="preserve">оплаты поставленного товара, результата выполненной работы, оказанной услуги или отдельных этапов исполнения контракта, установленного </w:t>
      </w:r>
      <w:r>
        <w:t xml:space="preserve">частью 13.1 статьи 34 Закона № 44-ФЗ (не более </w:t>
      </w:r>
      <w:r>
        <w:rPr>
          <w:rFonts w:eastAsia="Calibri"/>
          <w:i/>
        </w:rPr>
        <w:t xml:space="preserve">семи рабочих дней</w:t>
      </w:r>
      <w:r>
        <w:rPr>
          <w:rFonts w:eastAsia="Calibri"/>
        </w:rPr>
        <w:t xml:space="preserve"> с даты подписания заказчиком документа о приемке), а равно </w:t>
      </w:r>
      <w:r>
        <w:rPr>
          <w:rFonts w:eastAsia="Calibri"/>
          <w:i/>
        </w:rPr>
        <w:t xml:space="preserve">риски привлечения </w:t>
      </w:r>
      <w:r>
        <w:rPr>
          <w:i/>
        </w:rPr>
        <w:t xml:space="preserve">должностных лиц заказчика к административной ответственности</w:t>
      </w:r>
      <w:r>
        <w:t xml:space="preserve"> по формальному признаку.</w:t>
      </w:r>
    </w:p>
    <w:p>
      <w:pPr>
        <w:pStyle w:val="Normal"/>
        <w:ind w:firstLine="709"/>
        <w:jc w:val="both"/>
      </w:pPr>
      <w:r>
        <w:t xml:space="preserve">В целях предотвращения указанных рисков ОИОГВ НСО </w:t>
      </w:r>
      <w:r>
        <w:rPr>
          <w:i/>
        </w:rPr>
        <w:t xml:space="preserve">необходимо пересмотреть подходы к формированию условий соглашений</w:t>
      </w:r>
      <w:r>
        <w:t xml:space="preserve"> о предоставлении из областного бюджета Новосибирской области и </w:t>
      </w:r>
      <w:r>
        <w:rPr>
          <w:i/>
        </w:rPr>
        <w:t xml:space="preserve">фактическому механизму</w:t>
      </w:r>
      <w:r>
        <w:t xml:space="preserve"> </w:t>
      </w:r>
      <w:r>
        <w:rPr>
          <w:i/>
        </w:rPr>
        <w:t xml:space="preserve">взаимодействия с заказчиком</w:t>
      </w:r>
      <w:r>
        <w:t xml:space="preserve"> – конечным получателем субсидии.</w:t>
      </w:r>
    </w:p>
    <w:p>
      <w:pPr>
        <w:pStyle w:val="Normal"/>
        <w:ind w:firstLine="709"/>
        <w:jc w:val="both"/>
      </w:pPr>
      <w:r>
        <w:t xml:space="preserve">При этом, Управление отмечает, что установление в соглашениях о предоставлении из областного бюджета Новосибирской области субсидий условий о </w:t>
      </w:r>
      <w:r>
        <w:rPr>
          <w:i/>
        </w:rPr>
        <w:t xml:space="preserve">более коротких сроках</w:t>
      </w:r>
      <w:r>
        <w:t xml:space="preserve"> рассмотрения заявки и предоставления субсидии на основании документов, подтверждающих приемку (например, не позднее одного рабочего дня) будет способствовать снижению рисков административной ответственности для заказчиков, но, может привести к рискам привлечения ОИОГВ НСО к административной ответственности, предусмотренной статьями 15.15.3 и (или) 15.15.5 КоАП РФ, в случае нарушения ОИОГВ НСО по каким-либо причинам такого оперативного срока, установленного в соглашении.</w:t>
      </w:r>
    </w:p>
    <w:p>
      <w:pPr>
        <w:pStyle w:val="Normal"/>
        <w:ind w:firstLine="709"/>
        <w:jc w:val="both"/>
      </w:pPr>
      <w:r>
        <w:t xml:space="preserve">На основании вышеизложенного, </w:t>
      </w:r>
      <w:r>
        <w:rPr>
          <w:rFonts w:eastAsia="Calibri"/>
        </w:rPr>
        <w:t xml:space="preserve">в целях предотвращения </w:t>
      </w:r>
      <w:r>
        <w:t xml:space="preserve">нарушений сроков оплаты товаров (работ, услуг) государственными заказчиками Новосибирской области и муниципальными заказчиками Новосибирской области, в том числе являющимися получателями межбюджетных трансфертов из областного бюджета Новосибирской области, ОИОГВ НСО предлагается:</w:t>
      </w:r>
    </w:p>
    <w:p>
      <w:pPr>
        <w:pStyle w:val="Normal"/>
        <w:ind w:firstLine="709"/>
        <w:jc w:val="both"/>
      </w:pPr>
      <w:r>
        <w:t xml:space="preserve">1) </w:t>
      </w:r>
      <w:r>
        <w:rPr>
          <w:i/>
        </w:rPr>
        <w:t xml:space="preserve">исключать</w:t>
      </w:r>
      <w:r>
        <w:t xml:space="preserve"> в заключаемых соглашениях о предоставлении из областного бюджета Новосибирской области субсидий </w:t>
      </w:r>
      <w:r>
        <w:rPr>
          <w:i/>
        </w:rPr>
        <w:t xml:space="preserve">указание на сроки предоставления субсидии, </w:t>
      </w:r>
      <w:r>
        <w:t xml:space="preserve">зависимые от факта приемки заказчиком</w:t>
      </w:r>
      <w:r>
        <w:rPr>
          <w:i/>
        </w:rPr>
        <w:t xml:space="preserve"> </w:t>
      </w:r>
      <w:r>
        <w:rPr>
          <w:rFonts w:eastAsia="Calibri"/>
        </w:rPr>
        <w:t xml:space="preserve">поставленного товара, результата выполненной работы, оказанной услуги, отдельных этапов исполнения заключенных контрактов;</w:t>
      </w:r>
    </w:p>
    <w:p>
      <w:pPr>
        <w:pStyle w:val="Normal"/>
        <w:ind w:firstLine="709"/>
        <w:jc w:val="both"/>
      </w:pPr>
      <w:r>
        <w:t xml:space="preserve">2) провести разъяснительную работу с должностными лицами ОИОГВ НСО, ответственными за выполнение функций по проверке представленных получателем заявок и документов для предоставления субсидии, о необходимости проводить проверку заявок и документов, поступающих от получателя, в максимально короткий срок (не более одного рабочего дня), а при наличии замечаний к входящим документам - обеспечивать оперативное взаимод</w:t>
      </w:r>
      <w:r>
        <w:t xml:space="preserve">ействие с получателем субсидии.</w:t>
      </w:r>
    </w:p>
    <w:sectPr>
      <w:headerReference w:type="default" r:id="rId6"/>
      <w:headerReference w:type="first" r:id="rId7"/>
      <w:type w:val="nextPage"/>
      <w:pgSz w:w="11906" w:h="16838"/>
      <w:pgMar w:top="1134" w:right="567" w:bottom="1134" w:left="1418" w:header="709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1"/>
    <w:next w:val="UserStyle_9"/>
    <w:link w:val="Normal"/>
  </w:style>
  <w:style w:type="character" w:styleId="UserStyle_10">
    <w:name w:val="Верхний колонтитул Знак"/>
    <w:next w:val="UserStyle_10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11">
    <w:name w:val="Основной текст 2 Знак"/>
    <w:next w:val="UserStyle_11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UserStyle_12">
    <w:name w:val="Основной текст 3 Знак"/>
    <w:next w:val="UserStyle_12"/>
    <w:link w:val="Normal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UserStyle_13">
    <w:name w:val="Нижний колонтитул Знак"/>
    <w:next w:val="UserStyle_13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UserStyle_14">
    <w:name w:val="Текст выноски Знак"/>
    <w:next w:val="UserStyle_14"/>
    <w:link w:val="Normal"/>
    <w:rPr>
      <w:rFonts w:ascii="Segoe UI" w:hAnsi="Segoe UI" w:eastAsia="Times New Roman" w:cs="Segoe UI"/>
      <w:sz w:val="18"/>
      <w:szCs w:val="18"/>
    </w:rPr>
  </w:style>
  <w:style w:type="character" w:styleId="UserStyle_15">
    <w:name w:val="gwt-inlinelabel"/>
    <w:next w:val="UserStyle_15"/>
    <w:link w:val="Normal"/>
  </w:style>
  <w:style w:type="paragraph" w:styleId="UserStyle_16">
    <w:name w:val="Heading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7">
    <w:name w:val="Index"/>
    <w:basedOn w:val="Normal"/>
    <w:next w:val="UserStyle_17"/>
    <w:link w:val="Normal"/>
    <w:pPr>
      <w:suppressLineNumbers/>
    </w:pPr>
    <w:rPr>
      <w:rFonts w:cs="Mangal"/>
    </w:rPr>
  </w:style>
  <w:style w:type="paragraph" w:styleId="UserStyle_18">
    <w:name w:val="Header and Footer"/>
    <w:basedOn w:val="Normal"/>
    <w:next w:val="UserStyle_18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</w:style>
  <w:style w:type="paragraph" w:styleId="UserStyle_19">
    <w:name w:val="Основной текст 21"/>
    <w:basedOn w:val="Normal"/>
    <w:next w:val="UserStyle_19"/>
    <w:link w:val="Normal"/>
    <w:pPr>
      <w:jc w:val="both"/>
    </w:pPr>
  </w:style>
  <w:style w:type="paragraph" w:styleId="UserStyle_20">
    <w:name w:val="Основной текст 31"/>
    <w:basedOn w:val="Normal"/>
    <w:next w:val="UserStyle_20"/>
    <w:link w:val="Normal"/>
    <w:pPr>
      <w:jc w:val="center"/>
    </w:pPr>
    <w:rPr>
      <w:b/>
      <w:bCs/>
    </w:rPr>
  </w:style>
  <w:style w:type="paragraph" w:styleId="Footer">
    <w:name w:val="Нижний колонтитул"/>
    <w:basedOn w:val="Normal"/>
    <w:next w:val="Footer"/>
    <w:link w:val="Normal"/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</w:rPr>
  </w:style>
  <w:style w:type="paragraph" w:styleId="UserStyle_21">
    <w:name w:val="ConsPlusNonformat"/>
    <w:next w:val="UserStyle_21"/>
    <w:link w:val="Normal"/>
    <w:rPr>
      <w:rFonts w:ascii="Courier New" w:hAnsi="Courier New" w:eastAsia="Calibri" w:cs="Courier New"/>
      <w:lang w:val="ru-RU" w:eastAsia="zh-CN" w:bidi="ar-SA"/>
    </w:r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6" w:lineRule="auto"/>
      <w:ind w:left="720" w:right="0" w:firstLine="0"/>
      <w:contextualSpacing/>
    </w:pPr>
    <w:rPr>
      <w:rFonts w:ascii="Calibri" w:hAnsi="Calibri" w:eastAsia="Calibri" w:cs="Times New Roman"/>
      <w:sz w:val="22"/>
      <w:szCs w:val="22"/>
    </w:rPr>
  </w:style>
  <w:style w:type="paragraph" w:styleId="UserStyle_22">
    <w:name w:val="Table Contents"/>
    <w:basedOn w:val="Normal"/>
    <w:next w:val="UserStyle_22"/>
    <w:link w:val="Normal"/>
    <w:pPr>
      <w:suppressLineNumbers/>
    </w:pPr>
  </w:style>
  <w:style w:type="paragraph" w:styleId="UserStyle_23">
    <w:name w:val="Table Heading"/>
    <w:basedOn w:val="UserStyle_22"/>
    <w:next w:val="UserStyle_23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6055</Characters>
  <CharactersWithSpaces>7103</CharactersWithSpaces>
  <Company>PNO</Company>
  <DocSecurity>0</DocSecurity>
  <HyperlinksChanged>false</HyperlinksChanged>
  <Lines>50</Lines>
  <Pages>3</Pages>
  <Paragraphs>14</Paragraphs>
  <ScaleCrop>false</ScaleCrop>
  <SharedDoc>false</SharedDoc>
  <Template>Normal</Template>
  <Words>1062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Андрей Анатольевич</dc:creator>
  <cp:lastModifiedBy>Карпова Ирина Юрьевна</cp:lastModifiedBy>
  <cp:revision>2</cp:revision>
  <dcterms:created xsi:type="dcterms:W3CDTF">2023-03-31T07:22:00Z</dcterms:created>
  <dcterms:modified xsi:type="dcterms:W3CDTF">2023-03-31T07:22:00Z</dcterms:modified>
  <cp:version>1048576</cp:version>
</cp:coreProperties>
</file>