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ind w:left="284" w:right="201"/>
        <w:jc w:val="both"/>
      </w:pPr>
      <w: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character">
                  <wp:posOffset>3681730</wp:posOffset>
                </wp:positionH>
                <wp:positionV relativeFrom="paragraph">
                  <wp:posOffset>36195</wp:posOffset>
                </wp:positionV>
                <wp:extent cx="3110230" cy="251460"/>
                <wp:effectExtent l="0" t="0" r="0" b="0"/>
                <wp:wrapNone/>
                <wp:docPr id="1" name="_x0000_s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
                        <a:stretch/>
                      </pic:blipFill>
                      <pic:spPr>
                        <a:xfrm>
                          <a:off x="0" y="0"/>
                          <a:ext cx="3110230" cy="25146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char;margin-left:289.90pt;mso-position-horizontal:absolute;mso-position-vertical-relative:text;margin-top:2.85pt;mso-position-vertical:absolute;width:244.90pt;height:19.80pt;mso-wrap-distance-left:0.00pt;mso-wrap-distance-top:0.00pt;mso-wrap-distance-right:0.00pt;mso-wrap-distance-bottom:0.00pt;" stroked="f">
                <v:path textboxrect="0,0,0,0"/>
                <v:imagedata r:id="rId8" o:title=""/>
              </v:shape>
            </w:pict>
          </mc:Fallback>
        </mc:AlternateContent>
      </w:r>
    </w:p>
    <w:p>
      <w:pPr>
        <w:pStyle w:val="Normal"/>
        <w:ind w:left="284" w:right="201"/>
        <w:jc w:val="both"/>
      </w:pPr>
    </w:p>
    <w:p>
      <w:pPr>
        <w:pStyle w:val="Normal"/>
        <w:widowControl w:val="off"/>
        <w:jc w:val="center"/>
      </w:pPr>
      <w:r>
        <w:t xml:space="preserve">Уважаемые коллеги</w:t>
      </w:r>
      <w:r>
        <w:t xml:space="preserve">!</w:t>
      </w:r>
    </w:p>
    <w:p>
      <w:pPr>
        <w:pStyle w:val="Normal"/>
        <w:widowControl w:val="off"/>
        <w:ind w:firstLine="709"/>
        <w:jc w:val="both"/>
      </w:pPr>
    </w:p>
    <w:p>
      <w:pPr>
        <w:pStyle w:val="Normal"/>
        <w:widowControl w:val="off"/>
        <w:ind w:firstLine="709"/>
        <w:jc w:val="both"/>
      </w:pPr>
      <w:r>
        <w:t xml:space="preserve">Контрольное управление Новосибирской области (далее – Управление) по результатам проверок Управления, проведенных в отношении государственных заказчиков – учреждений, подведомственных министерству здравоохранения Новосибирской области (далее – Заказчики), отмечает, что Заказчики допускают заключение государственных контрактов, содержащих следующие условия:</w:t>
      </w:r>
    </w:p>
    <w:p>
      <w:pPr>
        <w:pStyle w:val="Normal"/>
        <w:widowControl w:val="off"/>
        <w:tabs>
          <w:tab w:val="left" w:pos="709" w:leader="none"/>
        </w:tabs>
        <w:ind w:firstLine="709"/>
        <w:jc w:val="both"/>
      </w:pPr>
      <w:r>
        <w:t xml:space="preserve">- товар поставляется поставщиком Заказчику партиями в соответствии с заявками Заказчика </w:t>
      </w:r>
      <w:r>
        <w:rPr>
          <w:color w:val="000000"/>
        </w:rPr>
        <w:t xml:space="preserve">в течение определенного в контракте количества рабочих дней </w:t>
      </w:r>
      <w:r>
        <w:rPr>
          <w:i/>
          <w:color w:val="000000"/>
        </w:rPr>
        <w:t xml:space="preserve">с момента передачи поставщику заявки</w:t>
      </w:r>
      <w:r>
        <w:rPr>
          <w:color w:val="000000"/>
        </w:rPr>
        <w:t xml:space="preserve"> заказчика. Заявка Заказчика может быть передана поставщику </w:t>
      </w:r>
      <w:r>
        <w:rPr>
          <w:i/>
          <w:color w:val="000000"/>
        </w:rPr>
        <w:t xml:space="preserve">в устной форме</w:t>
      </w:r>
      <w:r>
        <w:rPr>
          <w:color w:val="000000"/>
        </w:rPr>
        <w:t xml:space="preserve">;</w:t>
      </w:r>
    </w:p>
    <w:p>
      <w:pPr>
        <w:pStyle w:val="Normal"/>
        <w:widowControl w:val="off"/>
        <w:ind w:firstLine="708"/>
        <w:jc w:val="both"/>
      </w:pPr>
      <w:r>
        <w:t xml:space="preserve">- при возникновении права требования от поставщика оплаты неустойки (штрафа, пени) Заказчик </w:t>
      </w:r>
      <w:r>
        <w:rPr>
          <w:i/>
        </w:rPr>
        <w:t xml:space="preserve">не позднее </w:t>
      </w:r>
      <w:r>
        <w:rPr>
          <w:i/>
          <w:color w:val="000000"/>
        </w:rPr>
        <w:t xml:space="preserve">50 рабочих </w:t>
      </w:r>
      <w:r>
        <w:rPr>
          <w:i/>
        </w:rPr>
        <w:t xml:space="preserve">дней или более</w:t>
      </w:r>
      <w:r>
        <w:t xml:space="preserve"> с момента возникновения такого права направляет поставщику претензионное письмо с требованием оплаты неустойки (штрафа, пени), рассчитанной в соответствии с законодательством Российской Федерации и условиями контракта;</w:t>
      </w:r>
    </w:p>
    <w:p>
      <w:pPr>
        <w:pStyle w:val="Normal"/>
        <w:widowControl w:val="off"/>
        <w:ind w:firstLine="708"/>
        <w:jc w:val="both"/>
      </w:pPr>
      <w:r>
        <w:t xml:space="preserve">- </w:t>
      </w:r>
      <w:r>
        <w:rPr>
          <w:i/>
        </w:rPr>
        <w:t xml:space="preserve">в течение </w:t>
      </w:r>
      <w:bookmarkStart w:id="0" w:name="OLE_LINK128"/>
      <w:r>
        <w:rPr>
          <w:i/>
          <w:color w:val="000000"/>
        </w:rPr>
        <w:t xml:space="preserve">50 </w:t>
      </w:r>
      <w:bookmarkEnd w:id="0"/>
      <w:r>
        <w:rPr>
          <w:i/>
        </w:rPr>
        <w:t xml:space="preserve">рабочих дней или более</w:t>
      </w:r>
      <w:r>
        <w:t xml:space="preserve"> с даты фактического исполнения обязательств поставщиком Заказчик принимает необходимые меры по взысканию неустойки (штрафа, пени) за весь период просрочки исполнения обязательств, предусмотренных контрактом, а именно требует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направляет в суд исковое заявление с соответствующими требованиями.</w:t>
      </w:r>
    </w:p>
    <w:p>
      <w:pPr>
        <w:pStyle w:val="Normal"/>
        <w:widowControl w:val="off"/>
        <w:ind w:firstLine="708"/>
        <w:jc w:val="both"/>
      </w:pPr>
      <w:r>
        <w:t xml:space="preserve">Направление в адрес поставщика заявок заказчика на поставку товара </w:t>
      </w:r>
      <w:r>
        <w:rPr>
          <w:i/>
        </w:rPr>
        <w:t xml:space="preserve">в устной форме</w:t>
      </w:r>
      <w:r>
        <w:t xml:space="preserve"> не позволяет документально фиксировать дату направления заказчиком и получения поставщиком заявки, соответственно, делает невозможным доказано произвести и предъявить поставщику, нарушившему срок поставки товара в рамках исполнения каждой конкретной заявки, расчет дней (крайнего дня) для поставки поставщиком товара, а равно приводит к рискам срыва ведения заказчиком надлежащей претензионной работы, в том числе в судебном порядке, ввиду отсутствия документальных доказательств по просрочке поставщиком сроков поставки товара.</w:t>
      </w:r>
    </w:p>
    <w:p>
      <w:pPr>
        <w:pStyle w:val="Normal"/>
        <w:widowControl w:val="off"/>
        <w:ind w:firstLine="708"/>
        <w:jc w:val="both"/>
      </w:pPr>
      <w:r>
        <w:t xml:space="preserve">Установление в контрактах условий о длительных для Заказчика сроках (</w:t>
      </w:r>
      <w:r>
        <w:rPr>
          <w:i/>
        </w:rPr>
        <w:t xml:space="preserve">в течение </w:t>
      </w:r>
      <w:r>
        <w:rPr>
          <w:i/>
          <w:color w:val="000000"/>
        </w:rPr>
        <w:t xml:space="preserve">50 </w:t>
      </w:r>
      <w:r>
        <w:rPr>
          <w:i/>
        </w:rPr>
        <w:t xml:space="preserve">рабочих дней или более) </w:t>
      </w:r>
      <w:r>
        <w:t xml:space="preserve">для начала ведения Заказчиком претензионной работы противоречит принципам контрактной системы в сфере закупок, в частности, принципу ответственности </w:t>
      </w:r>
      <w:r>
        <w:rPr>
          <w:rFonts w:eastAsia="Calibri"/>
          <w:bCs/>
        </w:rPr>
        <w:t xml:space="preserve">за результативность обеспечения государственных и муниципальных нужд, эффективности осуществления закупок.</w:t>
      </w:r>
    </w:p>
    <w:p>
      <w:pPr>
        <w:pStyle w:val="Normal"/>
        <w:widowControl w:val="off"/>
        <w:ind w:firstLine="708"/>
        <w:jc w:val="both"/>
      </w:pPr>
      <w:r>
        <w:t xml:space="preserve">Частью 6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предусмотрено, что </w:t>
      </w:r>
      <w:r>
        <w:rPr>
          <w:rFonts w:eastAsia="Calibri"/>
        </w:rPr>
        <w:t xml:space="preserve">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w:t>
      </w:r>
      <w:r>
        <w:rPr>
          <w:rFonts w:eastAsia="Calibri"/>
          <w:i/>
        </w:rPr>
        <w:t xml:space="preserve">обязан направить поставщику требование об уплате неустоек</w:t>
      </w:r>
      <w:r>
        <w:rPr>
          <w:rFonts w:eastAsia="Calibri"/>
        </w:rPr>
        <w:t xml:space="preserve"> (штрафов, пеней). При этом, Закон № 44-ФЗ не устанавливает срок, который бы мог отсрочить для Заказчика начало ведения претензионной работы. </w:t>
      </w:r>
    </w:p>
    <w:p>
      <w:pPr>
        <w:pStyle w:val="Normal"/>
        <w:widowControl w:val="off"/>
        <w:ind w:firstLine="708"/>
        <w:jc w:val="both"/>
      </w:pPr>
      <w:r>
        <w:t xml:space="preserve">В случае установления в контракте и использования Заказчиком столь длительных сроков для начала претензионной работы возникают риски срыва претензионной работы, несвоевременности отражения в бухгалтерском (бюджетном) учете Заказчика соответствующих фактов хозяйственной жизни и «ущемления» положения Заказчика или поставщика в связи с наступлением за прошедший длительный период условий, ухудшающих положение одной из сторон. Так, например, за счет изменения в периоде </w:t>
      </w:r>
      <w:r>
        <w:rPr>
          <w:rFonts w:eastAsia="Calibri"/>
        </w:rPr>
        <w:t xml:space="preserve">ключевой ставки Центрального банка Российской Федерации Заказчиком может быть </w:t>
      </w:r>
      <w:r>
        <w:t xml:space="preserve">получен доход в размере меньшем, чем могло бы быть при ведении незамедлительной претензионной работы, или обратная ситуация, когда расходы поставщика по уплате пени на дату уплаты пени составили кратно больше, чем могли бы быть при оперативном получении от Заказчика требования об уплате пени.</w:t>
      </w:r>
    </w:p>
    <w:p>
      <w:pPr>
        <w:pStyle w:val="Normal"/>
        <w:ind w:firstLine="709"/>
        <w:jc w:val="both"/>
      </w:pPr>
      <w:r>
        <w:rPr>
          <w:rFonts w:eastAsia="Calibri"/>
        </w:rPr>
        <w:t xml:space="preserve">На основании вышеизложенного, Министерству здравоохранения Новосибирской области рекомендуется довести до Заказчиков информацию, что:</w:t>
      </w:r>
    </w:p>
    <w:p>
      <w:pPr>
        <w:pStyle w:val="Normal"/>
        <w:ind w:firstLine="709"/>
        <w:jc w:val="both"/>
      </w:pPr>
      <w:r>
        <w:rPr>
          <w:rFonts w:eastAsia="Calibri"/>
        </w:rPr>
        <w:t xml:space="preserve">- в случае заключения контрактов на поставку товаров партиями по заявкам Заказчика, контракт должен содержать условие, что заявка формируется Заказчиком исключительно </w:t>
      </w:r>
      <w:r>
        <w:rPr>
          <w:rFonts w:eastAsia="Calibri"/>
          <w:i/>
        </w:rPr>
        <w:t xml:space="preserve">в письменной форме</w:t>
      </w:r>
      <w:r>
        <w:rPr>
          <w:rFonts w:eastAsia="Calibri"/>
        </w:rPr>
        <w:t xml:space="preserve"> и направляется в адрес поставщика способом, позволяющим фиксировать дату направления Заказчиком и (или) получения поставщиком заявки;</w:t>
      </w:r>
    </w:p>
    <w:p>
      <w:pPr>
        <w:pStyle w:val="Normal"/>
        <w:ind w:firstLine="709"/>
        <w:jc w:val="both"/>
        <w:rPr>
          <w:rFonts w:eastAsia="Calibri"/>
        </w:rPr>
      </w:pPr>
      <w:r>
        <w:rPr>
          <w:rFonts w:eastAsia="Calibri"/>
        </w:rPr>
        <w:t xml:space="preserve">- заключаемые Заказчиками контракты должны мотивировать Заказчиков на ведение </w:t>
      </w:r>
      <w:r>
        <w:rPr>
          <w:rFonts w:eastAsia="Calibri"/>
          <w:i/>
        </w:rPr>
        <w:t xml:space="preserve">оперативной претензионной работы</w:t>
      </w:r>
      <w:r>
        <w:rPr>
          <w:rFonts w:eastAsia="Calibri"/>
        </w:rPr>
        <w:t xml:space="preserve"> в случаях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и содержать соразмерные (разумные) сроки для направления в адрес поставщика требования об уплате неустоек (штрафов, пеней).</w:t>
      </w:r>
    </w:p>
    <w:sectPr>
      <w:headerReference w:type="default" r:id="rId6"/>
      <w:headerReference w:type="first" r:id="rId7"/>
      <w:type w:val="nextPage"/>
      <w:pgSz w:w="11906" w:h="16838"/>
      <w:pgMar w:top="1134" w:right="567" w:bottom="1134" w:left="1418" w:header="709"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Courier New">
    <w:panose1 w:val="02070309020205020404"/>
  </w:font>
  <w:font w:name="Mangal">
    <w:panose1 w:val="02040503050406030204"/>
  </w:font>
  <w:font w:name="Liberation Sans">
    <w:panose1 w:val="020B0604020202020204"/>
  </w:font>
  <w:font w:name="Segoe UI">
    <w:panose1 w:val="020B0502040504020204"/>
  </w:font>
  <w:font w:name="Microsoft YaHei">
    <w:panose1 w:val="020B0503020203020204"/>
  </w:font>
  <w:font w:name="Times New Roman">
    <w:panose1 w:val="020206030504050203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 PAGE </w:instrText>
    </w:r>
    <w:r>
      <w:fldChar w:fldCharType="separate"/>
    </w:r>
    <w:r>
      <w:t xml:space="preserve">2</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8"/>
      <w:szCs w:val="28"/>
      <w:lang w:val="ru-RU" w:eastAsia="zh-CN"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Основной шрифт абзаца1"/>
    <w:next w:val="UserStyle_0"/>
    <w:link w:val="Normal"/>
  </w:style>
  <w:style w:type="character" w:styleId="UserStyle_1">
    <w:name w:val="Верхний колонтитул Знак"/>
    <w:next w:val="UserStyle_1"/>
    <w:link w:val="Normal"/>
    <w:rPr>
      <w:rFonts w:ascii="Times New Roman" w:hAnsi="Times New Roman" w:eastAsia="Times New Roman" w:cs="Times New Roman"/>
      <w:sz w:val="28"/>
      <w:szCs w:val="28"/>
    </w:rPr>
  </w:style>
  <w:style w:type="character" w:styleId="Hyperlink">
    <w:name w:val="Гиперссылка"/>
    <w:next w:val="Hyperlink"/>
    <w:link w:val="Normal"/>
    <w:rPr>
      <w:rFonts w:cs="Times New Roman"/>
      <w:color w:val="0000ff"/>
      <w:u w:val="single"/>
    </w:rPr>
  </w:style>
  <w:style w:type="character" w:styleId="UserStyle_2">
    <w:name w:val="Основной текст 2 Знак"/>
    <w:next w:val="UserStyle_2"/>
    <w:link w:val="Normal"/>
    <w:rPr>
      <w:rFonts w:ascii="Times New Roman" w:hAnsi="Times New Roman" w:eastAsia="Times New Roman" w:cs="Times New Roman"/>
      <w:sz w:val="28"/>
      <w:szCs w:val="28"/>
    </w:rPr>
  </w:style>
  <w:style w:type="character" w:styleId="UserStyle_3">
    <w:name w:val="Основной текст 3 Знак"/>
    <w:next w:val="UserStyle_3"/>
    <w:link w:val="Normal"/>
    <w:rPr>
      <w:rFonts w:ascii="Times New Roman" w:hAnsi="Times New Roman" w:eastAsia="Times New Roman" w:cs="Times New Roman"/>
      <w:b/>
      <w:bCs/>
      <w:sz w:val="28"/>
      <w:szCs w:val="28"/>
    </w:rPr>
  </w:style>
  <w:style w:type="character" w:styleId="UserStyle_4">
    <w:name w:val="Нижний колонтитул Знак"/>
    <w:next w:val="UserStyle_4"/>
    <w:link w:val="Normal"/>
    <w:rPr>
      <w:rFonts w:ascii="Times New Roman" w:hAnsi="Times New Roman" w:eastAsia="Times New Roman" w:cs="Times New Roman"/>
      <w:sz w:val="28"/>
      <w:szCs w:val="28"/>
    </w:rPr>
  </w:style>
  <w:style w:type="character" w:styleId="UserStyle_5">
    <w:name w:val="Текст выноски Знак"/>
    <w:next w:val="UserStyle_5"/>
    <w:link w:val="Normal"/>
    <w:rPr>
      <w:rFonts w:ascii="Segoe UI" w:hAnsi="Segoe UI" w:eastAsia="Times New Roman" w:cs="Segoe UI"/>
      <w:sz w:val="18"/>
      <w:szCs w:val="18"/>
    </w:rPr>
  </w:style>
  <w:style w:type="character" w:styleId="UserStyle_6">
    <w:name w:val="gwt-inlinelabel"/>
    <w:next w:val="UserStyle_6"/>
    <w:link w:val="Normal"/>
  </w:style>
  <w:style w:type="paragraph" w:styleId="UserStyle_7">
    <w:name w:val="Heading"/>
    <w:basedOn w:val="Normal"/>
    <w:next w:val="BodyText"/>
    <w:link w:val="Normal"/>
    <w:pPr>
      <w:keepNext/>
      <w:spacing w:before="240" w:after="120"/>
    </w:pPr>
    <w:rPr>
      <w:rFonts w:ascii="Liberation Sans" w:hAnsi="Liberation Sans" w:eastAsia="Microsoft YaHei" w:cs="Mangal"/>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cs="Mangal"/>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8">
    <w:name w:val="Index"/>
    <w:basedOn w:val="Normal"/>
    <w:next w:val="UserStyle_8"/>
    <w:link w:val="Normal"/>
    <w:pPr>
      <w:suppressLineNumbers/>
    </w:pPr>
    <w:rPr>
      <w:rFonts w:cs="Mangal"/>
    </w:rPr>
  </w:style>
  <w:style w:type="paragraph" w:styleId="UserStyle_9">
    <w:name w:val="Header and Footer"/>
    <w:basedOn w:val="Normal"/>
    <w:next w:val="UserStyle_9"/>
    <w:link w:val="Normal"/>
    <w:pPr>
      <w:suppressLineNumbers/>
      <w:tabs>
        <w:tab w:val="center" w:pos="4819" w:leader="none"/>
        <w:tab w:val="right" w:pos="9638" w:leader="none"/>
      </w:tabs>
    </w:pPr>
  </w:style>
  <w:style w:type="paragraph" w:styleId="Header">
    <w:name w:val="Верхний колонтитул"/>
    <w:basedOn w:val="Normal"/>
    <w:next w:val="Header"/>
    <w:link w:val="Normal"/>
  </w:style>
  <w:style w:type="paragraph" w:styleId="UserStyle_10">
    <w:name w:val="Основной текст 21"/>
    <w:basedOn w:val="Normal"/>
    <w:next w:val="UserStyle_10"/>
    <w:link w:val="Normal"/>
    <w:pPr>
      <w:jc w:val="both"/>
    </w:pPr>
  </w:style>
  <w:style w:type="paragraph" w:styleId="UserStyle_11">
    <w:name w:val="Основной текст 31"/>
    <w:basedOn w:val="Normal"/>
    <w:next w:val="UserStyle_11"/>
    <w:link w:val="Normal"/>
    <w:pPr>
      <w:jc w:val="center"/>
    </w:pPr>
    <w:rPr>
      <w:b/>
      <w:bCs/>
    </w:rPr>
  </w:style>
  <w:style w:type="paragraph" w:styleId="Footer">
    <w:name w:val="Нижний колонтитул"/>
    <w:basedOn w:val="Normal"/>
    <w:next w:val="Footer"/>
    <w:link w:val="Normal"/>
  </w:style>
  <w:style w:type="paragraph" w:styleId="Acetate">
    <w:name w:val="Текст выноски"/>
    <w:basedOn w:val="Normal"/>
    <w:next w:val="Acetate"/>
    <w:link w:val="Normal"/>
    <w:rPr>
      <w:rFonts w:ascii="Segoe UI" w:hAnsi="Segoe UI" w:cs="Segoe UI"/>
      <w:sz w:val="18"/>
      <w:szCs w:val="18"/>
    </w:rPr>
  </w:style>
  <w:style w:type="paragraph" w:styleId="UserStyle_12">
    <w:name w:val="ConsPlusNonformat"/>
    <w:next w:val="UserStyle_12"/>
    <w:link w:val="Normal"/>
    <w:rPr>
      <w:rFonts w:ascii="Courier New" w:hAnsi="Courier New" w:eastAsia="Calibri" w:cs="Courier New"/>
      <w:lang w:val="ru-RU" w:eastAsia="zh-CN" w:bidi="ar-SA"/>
    </w:rPr>
  </w:style>
  <w:style w:type="paragraph" w:styleId="UserStyle_13">
    <w:name w:val="ConsPlusNormal"/>
    <w:next w:val="UserStyle_13"/>
    <w:link w:val="Normal"/>
    <w:pPr>
      <w:widowControl w:val="off"/>
    </w:pPr>
    <w:rPr>
      <w:rFonts w:ascii="Arial" w:hAnsi="Arial" w:cs="Arial"/>
      <w:szCs w:val="22"/>
      <w:lang w:val="ru-RU" w:eastAsia="zh-CN" w:bidi="ar-SA"/>
    </w:rPr>
  </w:style>
  <w:style w:type="paragraph" w:styleId="UserStyle_14">
    <w:name w:val="Table Contents"/>
    <w:basedOn w:val="Normal"/>
    <w:next w:val="UserStyle_14"/>
    <w:link w:val="Normal"/>
    <w:pPr>
      <w:suppressLineNumbers/>
    </w:pPr>
  </w:style>
  <w:style w:type="paragraph" w:styleId="UserStyle_15">
    <w:name w:val="Table Heading"/>
    <w:basedOn w:val="UserStyle_14"/>
    <w:next w:val="UserStyle_15"/>
    <w:link w:val="Normal"/>
    <w:pPr>
      <w:suppressLineNumbers/>
      <w:jc w:val="center"/>
    </w:pPr>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image" Target="media/image1.pn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4173</Characters>
  <CharactersWithSpaces>4895</CharactersWithSpaces>
  <Company>PNO</Company>
  <DocSecurity>0</DocSecurity>
  <HyperlinksChanged>false</HyperlinksChanged>
  <Lines>34</Lines>
  <Pages>2</Pages>
  <Paragraphs>9</Paragraphs>
  <ScaleCrop>false</ScaleCrop>
  <SharedDoc>false</SharedDoc>
  <Template>Normal</Template>
  <Words>731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Некипелов</dc:creator>
  <cp:lastModifiedBy>Карпова Ирина Юрьевна</cp:lastModifiedBy>
  <cp:revision>2</cp:revision>
  <dcterms:created xsi:type="dcterms:W3CDTF">2023-03-31T07:24:00Z</dcterms:created>
  <dcterms:modified xsi:type="dcterms:W3CDTF">2023-03-31T07:24:00Z</dcterms:modified>
  <cp:version>1048576</cp:version>
</cp:coreProperties>
</file>