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er"/>
        <w:jc w:val="right"/>
      </w:pPr>
      <w:r>
        <w:t xml:space="preserve">от 06.11.2024 № 03-12/1599/39</w:t>
      </w:r>
    </w:p>
    <w:p>
      <w:pPr>
        <w:pStyle w:val="Header"/>
        <w:tabs>
          <w:tab w:val="clear" w:pos="4153"/>
          <w:tab w:val="clear" w:pos="8306"/>
        </w:tabs>
      </w:pPr>
    </w:p>
    <w:p>
      <w:pPr>
        <w:pStyle w:val="Normal"/>
        <w:widowControl w:val="off"/>
        <w:ind w:right="-2"/>
        <w:jc w:val="center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применении формы акта приемки товаров, работ, услуг (ф. 0510452)</w:t>
      </w:r>
      <w:r>
        <w:rPr>
          <w:b/>
        </w:rPr>
        <w:t xml:space="preserve">, утвержденной приказом Министерства финансов Российской Федерации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>
        <w:rPr>
          <w:b/>
        </w:rPr>
      </w:r>
    </w:p>
    <w:p>
      <w:pPr>
        <w:pStyle w:val="Normal"/>
        <w:widowControl w:val="off"/>
        <w:jc w:val="both"/>
      </w:pPr>
      <w:r>
        <w:t xml:space="preserve">                      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К</w:t>
      </w:r>
      <w:r>
        <w:rPr>
          <w:color w:val="000000"/>
        </w:rPr>
        <w:t xml:space="preserve">онтрольное управление Новосибирской области </w:t>
      </w:r>
      <w:r>
        <w:rPr>
          <w:color w:val="000000"/>
        </w:rPr>
        <w:t xml:space="preserve">(далее – </w:t>
      </w:r>
      <w:r>
        <w:rPr>
          <w:color w:val="000000"/>
        </w:rPr>
        <w:t xml:space="preserve">Контрольное у</w:t>
      </w:r>
      <w:r>
        <w:rPr>
          <w:color w:val="000000"/>
        </w:rPr>
        <w:t xml:space="preserve">правление)</w:t>
      </w:r>
      <w:r>
        <w:rPr>
          <w:color w:val="000000"/>
        </w:rPr>
        <w:t xml:space="preserve"> </w:t>
      </w:r>
      <w:r>
        <w:rPr>
          <w:color w:val="000000"/>
        </w:rPr>
        <w:t xml:space="preserve">по вопросу применения </w:t>
      </w:r>
      <w:r>
        <w:rPr>
          <w:color w:val="000000"/>
        </w:rPr>
        <w:t xml:space="preserve">формы акта приемки товаров, работ, услуг </w:t>
      </w:r>
      <w:r>
        <w:rPr>
          <w:color w:val="000000"/>
        </w:rPr>
        <w:t xml:space="preserve"> </w:t>
      </w:r>
      <w:r>
        <w:rPr>
          <w:color w:val="000000"/>
        </w:rPr>
        <w:t xml:space="preserve">(ф. 0510452)</w:t>
      </w:r>
      <w:r>
        <w:rPr>
          <w:color w:val="000000"/>
        </w:rPr>
        <w:t xml:space="preserve">, утвержденной </w:t>
      </w:r>
      <w:r>
        <w:rPr>
          <w:color w:val="000000"/>
        </w:rPr>
        <w:t xml:space="preserve">приказом Министерства финансов Российской Федерации</w:t>
      </w:r>
      <w:r>
        <w:rPr>
          <w:color w:val="000000"/>
        </w:rPr>
        <w:t xml:space="preserve"> </w:t>
      </w:r>
      <w:r>
        <w:rPr>
          <w:color w:val="000000"/>
        </w:rPr>
        <w:t xml:space="preserve">от 15.04.2021 № 61н «Об утверждении унифицированных форм электронных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документов бухгалтерского учета, применяемых при ведении бюджетного учета,</w:t>
      </w:r>
      <w:r>
        <w:rPr>
          <w:color w:val="000000"/>
        </w:rPr>
        <w:t xml:space="preserve"> </w:t>
      </w:r>
      <w:r>
        <w:rPr>
          <w:color w:val="000000"/>
        </w:rPr>
        <w:t xml:space="preserve">бухгалтерского учета государственных (муниципальных) учреждений, и</w:t>
      </w:r>
      <w:r>
        <w:rPr>
          <w:color w:val="000000"/>
        </w:rPr>
        <w:t xml:space="preserve"> </w:t>
      </w:r>
      <w:r>
        <w:rPr>
          <w:color w:val="000000"/>
        </w:rPr>
        <w:t xml:space="preserve">Методических указаний по их форми</w:t>
      </w:r>
      <w:r>
        <w:rPr>
          <w:color w:val="000000"/>
        </w:rPr>
        <w:t xml:space="preserve">рованию и применению» (далее – Акт приемки</w:t>
      </w:r>
      <w:r>
        <w:rPr>
          <w:color w:val="000000"/>
        </w:rPr>
        <w:t xml:space="preserve"> (ф. 0510452)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Методические указания</w:t>
      </w:r>
      <w:r>
        <w:rPr>
          <w:color w:val="000000"/>
        </w:rPr>
        <w:t xml:space="preserve">, </w:t>
      </w:r>
      <w:r>
        <w:rPr>
          <w:color w:val="000000"/>
        </w:rPr>
        <w:t xml:space="preserve">П</w:t>
      </w:r>
      <w:r>
        <w:rPr>
          <w:color w:val="000000"/>
        </w:rPr>
        <w:t xml:space="preserve">риказ</w:t>
      </w:r>
      <w:r>
        <w:rPr>
          <w:color w:val="000000"/>
        </w:rPr>
        <w:t xml:space="preserve"> </w:t>
      </w:r>
      <w:r>
        <w:rPr>
          <w:color w:val="000000"/>
        </w:rPr>
        <w:t xml:space="preserve">№</w:t>
      </w:r>
      <w:r>
        <w:rPr>
          <w:color w:val="000000"/>
          <w:lang w:val="en-US"/>
        </w:rPr>
        <w:t xml:space="preserve"> </w:t>
      </w:r>
      <w:r>
        <w:rPr>
          <w:color w:val="000000"/>
        </w:rPr>
        <w:t xml:space="preserve">61н, соответственно), </w:t>
      </w:r>
      <w:r>
        <w:rPr>
          <w:color w:val="000000"/>
        </w:rPr>
        <w:t xml:space="preserve">сообщает следующее.</w:t>
      </w: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пунктом 64.19 </w:t>
      </w:r>
      <w:r>
        <w:rPr>
          <w:color w:val="000000"/>
        </w:rPr>
        <w:t xml:space="preserve">Приказа</w:t>
      </w:r>
      <w:r>
        <w:rPr>
          <w:color w:val="000000"/>
          <w:lang w:val="en-US"/>
        </w:rPr>
        <w:t xml:space="preserve"> </w:t>
      </w:r>
      <w:r>
        <w:rPr>
          <w:color w:val="000000"/>
        </w:rPr>
        <w:t xml:space="preserve">№</w:t>
      </w:r>
      <w:r>
        <w:rPr>
          <w:color w:val="000000"/>
          <w:lang w:val="en-US"/>
        </w:rPr>
        <w:t xml:space="preserve"> </w:t>
      </w:r>
      <w:r>
        <w:rPr>
          <w:color w:val="000000"/>
        </w:rPr>
        <w:t xml:space="preserve">61,</w:t>
      </w:r>
      <w:r>
        <w:rPr>
          <w:color w:val="000000"/>
        </w:rPr>
        <w:t xml:space="preserve"> </w:t>
      </w:r>
      <w:r>
        <w:rPr>
          <w:color w:val="000000"/>
        </w:rPr>
        <w:t xml:space="preserve">регламентирующего вопросы применения </w:t>
      </w:r>
      <w:r>
        <w:rPr>
          <w:color w:val="000000"/>
        </w:rPr>
        <w:t xml:space="preserve">Акта приемки </w:t>
      </w:r>
      <w:r>
        <w:rPr>
          <w:color w:val="000000"/>
        </w:rPr>
        <w:t xml:space="preserve">(ф. 0510452), Акт приемки </w:t>
      </w:r>
      <w:r>
        <w:rPr>
          <w:color w:val="000000"/>
        </w:rPr>
        <w:t xml:space="preserve">(ф. 0510452) применяется в целях оформления приемки поставленных товаров, выполненных работ, оказанных услуг, предусмотренной договором, информация о котором </w:t>
      </w:r>
      <w:r>
        <w:rPr>
          <w:color w:val="000000"/>
        </w:rPr>
        <w:t xml:space="preserve">не размещается в реестре контрактов единой информационной системы в сфере закупок</w:t>
      </w:r>
      <w:r>
        <w:rPr>
          <w:color w:val="000000"/>
        </w:rPr>
        <w:t xml:space="preserve"> (в том числе,</w:t>
      </w:r>
      <w:r>
        <w:rPr>
          <w:color w:val="000000"/>
        </w:rPr>
        <w:t xml:space="preserve"> информация о договорах, заключенных автономными учреждениями </w:t>
      </w:r>
      <w:r>
        <w:rPr>
          <w:color w:val="000000"/>
        </w:rPr>
        <w:t xml:space="preserve">в соответствии с Законом </w:t>
      </w:r>
      <w:r>
        <w:rPr>
          <w:color w:val="000000"/>
        </w:rPr>
        <w:t xml:space="preserve">№</w:t>
      </w:r>
      <w:r>
        <w:rPr>
          <w:color w:val="000000"/>
          <w:lang w:val="en-US"/>
        </w:rPr>
        <w:t xml:space="preserve"> </w:t>
      </w:r>
      <w:r>
        <w:rPr>
          <w:color w:val="000000"/>
        </w:rPr>
        <w:t xml:space="preserve">223-ФЗ)</w:t>
      </w:r>
      <w:r>
        <w:rPr>
          <w:color w:val="000000"/>
        </w:rPr>
        <w:t xml:space="preserve">, </w:t>
      </w:r>
      <w:r>
        <w:rPr>
          <w:color w:val="000000"/>
        </w:rPr>
        <w:t xml:space="preserve">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 (поставщика (подрядчика)), и информации о транспортировке груза (например, сведений о целостности пломб и упаковок при транспортировке), возникающих в результате приемки товаров, работ, услуг.</w:t>
      </w:r>
      <w:r>
        <w:t xml:space="preserve"> </w:t>
      </w:r>
      <w:r>
        <w:rPr>
          <w:color w:val="000000"/>
        </w:rPr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Методические указания</w:t>
      </w:r>
      <w:r>
        <w:rPr>
          <w:color w:val="000000"/>
        </w:rPr>
        <w:t xml:space="preserve">, утвержденные Приказом №</w:t>
      </w:r>
      <w:r>
        <w:rPr>
          <w:color w:val="000000"/>
          <w:lang w:val="en-US"/>
        </w:rPr>
        <w:t xml:space="preserve"> </w:t>
      </w:r>
      <w:r>
        <w:rPr>
          <w:color w:val="000000"/>
        </w:rPr>
        <w:t xml:space="preserve">61н</w:t>
      </w:r>
      <w:r>
        <w:rPr>
          <w:color w:val="000000"/>
        </w:rPr>
        <w:t xml:space="preserve">,</w:t>
      </w:r>
      <w:r>
        <w:rPr>
          <w:color w:val="000000"/>
        </w:rPr>
        <w:t xml:space="preserve"> применяются одновременно с применением положений нормативных правовых актов, регулирующих ведение бухгалтерского учета, в том числе с положениями федерального стандарта бухгалтерского учета для организаций государственного сектора </w:t>
      </w:r>
      <w:r>
        <w:rPr>
          <w:color w:val="000000"/>
        </w:rPr>
        <w:t xml:space="preserve">«</w:t>
      </w:r>
      <w:r>
        <w:rPr>
          <w:color w:val="000000"/>
        </w:rPr>
        <w:t xml:space="preserve">Концептуальные основы бухгалтерского учета и отчетности организаций государственного сектора</w:t>
      </w:r>
      <w:r>
        <w:rPr>
          <w:color w:val="000000"/>
        </w:rPr>
        <w:t xml:space="preserve">»</w:t>
      </w:r>
      <w:r>
        <w:rPr>
          <w:color w:val="000000"/>
        </w:rPr>
        <w:t xml:space="preserve">, утвержденного при</w:t>
      </w:r>
      <w:r>
        <w:rPr>
          <w:color w:val="000000"/>
        </w:rPr>
        <w:t xml:space="preserve">казом Министерства финансов Российской Федерации от </w:t>
      </w:r>
      <w:r>
        <w:rPr>
          <w:color w:val="000000"/>
        </w:rPr>
        <w:t xml:space="preserve">31.12.2016 №</w:t>
      </w:r>
      <w:r>
        <w:rPr>
          <w:color w:val="000000"/>
        </w:rPr>
        <w:t xml:space="preserve"> 256н (далее – </w:t>
      </w:r>
      <w:r>
        <w:rPr>
          <w:color w:val="000000"/>
        </w:rPr>
        <w:t xml:space="preserve">СГС </w:t>
      </w:r>
      <w:r>
        <w:rPr>
          <w:color w:val="000000"/>
        </w:rPr>
        <w:t xml:space="preserve">«</w:t>
      </w:r>
      <w:r>
        <w:rPr>
          <w:color w:val="000000"/>
        </w:rPr>
        <w:t xml:space="preserve">Концептуальные основы</w:t>
      </w:r>
      <w:r>
        <w:rPr>
          <w:color w:val="000000"/>
        </w:rPr>
        <w:t xml:space="preserve">»). </w:t>
      </w:r>
      <w:r>
        <w:rPr>
          <w:color w:val="000000"/>
        </w:rPr>
        <w:t xml:space="preserve">Пунктом 25 </w:t>
      </w:r>
      <w:r>
        <w:rPr>
          <w:color w:val="000000"/>
        </w:rPr>
        <w:t xml:space="preserve">СГС «Концептуальные основы»</w:t>
      </w:r>
      <w:r>
        <w:rPr>
          <w:color w:val="000000"/>
        </w:rPr>
        <w:t xml:space="preserve"> </w:t>
      </w:r>
      <w:r>
        <w:rPr>
          <w:color w:val="000000"/>
        </w:rPr>
        <w:t xml:space="preserve">установлено, что первичные (сводные) учетные документы принимаются к бухгалтерскому учету, если они составлены по унифицированным формам документов, утвержденным согласно законодательству Российской Федерации правовыми актами уполномоченны</w:t>
      </w:r>
      <w:r>
        <w:rPr>
          <w:color w:val="000000"/>
        </w:rPr>
        <w:t xml:space="preserve">х органов исполнительной власти</w:t>
      </w:r>
      <w:r>
        <w:rPr>
          <w:color w:val="000000"/>
        </w:rPr>
        <w:t xml:space="preserve">.</w:t>
      </w:r>
      <w:r>
        <w:rPr>
          <w:color w:val="000000"/>
        </w:rPr>
        <w:t xml:space="preserve"> Таким образом, </w:t>
      </w:r>
      <w:r>
        <w:rPr>
          <w:i/>
          <w:color w:val="000000"/>
        </w:rPr>
        <w:t xml:space="preserve">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</w:t>
      </w:r>
      <w:r>
        <w:rPr>
          <w:color w:val="000000"/>
        </w:rPr>
        <w:t xml:space="preserve">.</w:t>
      </w:r>
    </w:p>
    <w:p>
      <w:pPr>
        <w:pStyle w:val="Normal"/>
        <w:widowControl w:val="off"/>
        <w:ind w:firstLine="709"/>
        <w:jc w:val="both"/>
        <w:rPr>
          <w:color w:val="000000"/>
        </w:rPr>
      </w:pPr>
      <w:r>
        <w:rPr>
          <w:color w:val="000000"/>
        </w:rPr>
        <w:t xml:space="preserve">Учитывая изложенное, </w:t>
      </w:r>
      <w:r>
        <w:rPr>
          <w:color w:val="000000"/>
        </w:rPr>
        <w:t xml:space="preserve">согласно Приказу №</w:t>
      </w:r>
      <w:r>
        <w:rPr>
          <w:color w:val="000000"/>
          <w:lang w:val="en-US"/>
        </w:rPr>
        <w:t xml:space="preserve"> </w:t>
      </w:r>
      <w:r>
        <w:rPr>
          <w:color w:val="000000"/>
        </w:rPr>
        <w:t xml:space="preserve">61н </w:t>
      </w:r>
      <w:r>
        <w:rPr>
          <w:i/>
          <w:color w:val="000000"/>
        </w:rPr>
        <w:t xml:space="preserve">применение Акта приемки </w:t>
      </w:r>
      <w:r>
        <w:rPr>
          <w:i/>
          <w:color w:val="000000"/>
        </w:rPr>
        <w:t xml:space="preserve">                   </w:t>
      </w:r>
      <w:r>
        <w:rPr>
          <w:i/>
          <w:color w:val="000000"/>
        </w:rPr>
        <w:t xml:space="preserve">(ф. </w:t>
      </w:r>
      <w:r>
        <w:rPr>
          <w:i/>
          <w:color w:val="000000"/>
        </w:rPr>
        <w:t xml:space="preserve">0510452) обязательно </w:t>
      </w:r>
      <w:r>
        <w:rPr>
          <w:i/>
          <w:color w:val="000000"/>
        </w:rPr>
        <w:t xml:space="preserve">субъектами учета (</w:t>
      </w:r>
      <w:r>
        <w:rPr>
          <w:i/>
          <w:color w:val="000000"/>
        </w:rPr>
        <w:t xml:space="preserve">государственными (муниципальными) учреждениями (казенными, бюджетными и автономными)</w:t>
      </w:r>
      <w:r>
        <w:rPr>
          <w:i/>
          <w:color w:val="000000"/>
        </w:rPr>
        <w:t xml:space="preserve">)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>
        <w:rPr>
          <w:color w:val="000000"/>
        </w:rPr>
        <w:t xml:space="preserve">с 1 января 2024 года, </w:t>
      </w:r>
      <w:r>
        <w:rPr>
          <w:color w:val="000000"/>
        </w:rPr>
        <w:t xml:space="preserve">вне зависимости от применяемой модели организации выполн</w:t>
      </w:r>
      <w:r>
        <w:rPr>
          <w:color w:val="000000"/>
        </w:rPr>
        <w:t xml:space="preserve">ения полномочий ведения учета – </w:t>
      </w:r>
      <w:r>
        <w:rPr>
          <w:color w:val="000000"/>
        </w:rPr>
        <w:t xml:space="preserve">самостоятельно или централизованной бухгалт</w:t>
      </w:r>
      <w:r>
        <w:rPr>
          <w:color w:val="000000"/>
        </w:rPr>
        <w:t xml:space="preserve">ерией, а также типа учреждения.</w:t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Указанная позиция Контрольного управления </w:t>
      </w:r>
      <w:r>
        <w:rPr>
          <w:rFonts w:eastAsia="Calibri"/>
          <w:lang w:eastAsia="ar-SA"/>
        </w:rPr>
        <w:t xml:space="preserve">подтверждается</w:t>
      </w:r>
      <w:r>
        <w:rPr>
          <w:rFonts w:eastAsia="Calibri"/>
          <w:lang w:eastAsia="ar-SA"/>
        </w:rPr>
        <w:t xml:space="preserve"> в письмах</w:t>
      </w:r>
      <w:r>
        <w:rPr>
          <w:rFonts w:eastAsia="Calibri"/>
          <w:lang w:eastAsia="ar-SA"/>
        </w:rPr>
        <w:t xml:space="preserve"> Мин</w:t>
      </w:r>
      <w:r>
        <w:rPr>
          <w:rFonts w:eastAsia="Calibri"/>
          <w:lang w:eastAsia="ar-SA"/>
        </w:rPr>
        <w:t xml:space="preserve">истерства финансов Российской Федерации </w:t>
      </w:r>
      <w:r>
        <w:rPr>
          <w:rFonts w:eastAsia="Calibri"/>
          <w:lang w:eastAsia="ar-SA"/>
        </w:rPr>
        <w:t xml:space="preserve">от 20.03.2024 № 02-07-11/25177, от 28.03.2024 № 02-06-09/27955, от 02.04.2024 № 02-07-11/29697, </w:t>
      </w:r>
      <w:r>
        <w:rPr>
          <w:rFonts w:eastAsia="Calibri"/>
          <w:lang w:eastAsia="ar-SA"/>
        </w:rPr>
        <w:t xml:space="preserve">от 08.05.2024 №</w:t>
      </w:r>
      <w:r>
        <w:rPr>
          <w:rFonts w:eastAsia="Calibri"/>
          <w:lang w:val="en-US" w:eastAsia="ar-SA"/>
        </w:rPr>
        <w:t xml:space="preserve"> </w:t>
      </w:r>
      <w:r>
        <w:rPr>
          <w:rFonts w:eastAsia="Calibri"/>
          <w:lang w:eastAsia="ar-SA"/>
        </w:rPr>
        <w:t xml:space="preserve">02-07-08/42895.</w:t>
      </w:r>
      <w:r>
        <w:rPr>
          <w:rFonts w:eastAsia="Calibri"/>
          <w:lang w:eastAsia="ar-SA"/>
        </w:rPr>
      </w:r>
    </w:p>
    <w:p>
      <w:pPr>
        <w:pStyle w:val="Normal"/>
        <w:widowControl w:val="off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Кроме того</w:t>
      </w:r>
      <w:r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 xml:space="preserve">Контрольно</w:t>
      </w:r>
      <w:r>
        <w:rPr>
          <w:rFonts w:eastAsia="Calibri"/>
          <w:lang w:eastAsia="ar-SA"/>
        </w:rPr>
        <w:t xml:space="preserve">е</w:t>
      </w:r>
      <w:r>
        <w:rPr>
          <w:rFonts w:eastAsia="Calibri"/>
          <w:lang w:eastAsia="ar-SA"/>
        </w:rPr>
        <w:t xml:space="preserve"> управлени</w:t>
      </w:r>
      <w:r>
        <w:rPr>
          <w:rFonts w:eastAsia="Calibri"/>
          <w:lang w:eastAsia="ar-SA"/>
        </w:rPr>
        <w:t xml:space="preserve">е обращает внимание, что</w:t>
      </w: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в </w:t>
      </w:r>
      <w:r>
        <w:t xml:space="preserve">целях совершенствования закупок товаров, работ,</w:t>
      </w:r>
      <w:r>
        <w:t xml:space="preserve"> услуг</w:t>
      </w:r>
      <w:r>
        <w:t xml:space="preserve"> приказом </w:t>
      </w:r>
      <w:r>
        <w:t xml:space="preserve">К</w:t>
      </w:r>
      <w:r>
        <w:t xml:space="preserve">онтрольного управления от 29.10.2024 № 259-НПА в Типовое положение о закупке товаров, работ, услуг</w:t>
      </w:r>
      <w:r>
        <w:t xml:space="preserve"> от</w:t>
      </w:r>
      <w:r>
        <w:t xml:space="preserve">дельными видами юридических лиц, утвержденное приказом</w:t>
      </w:r>
      <w:r>
        <w:t xml:space="preserve"> </w:t>
      </w:r>
      <w:r>
        <w:t xml:space="preserve">Контрольного</w:t>
      </w:r>
      <w:r>
        <w:t xml:space="preserve"> управления от 29.11.2018 № 374, </w:t>
      </w:r>
      <w:r>
        <w:t xml:space="preserve">внесены изменения</w:t>
      </w:r>
      <w:r>
        <w:t xml:space="preserve">, в том числе</w:t>
      </w:r>
      <w:r>
        <w:t xml:space="preserve">: </w:t>
      </w:r>
      <w:r>
        <w:rPr>
          <w:rFonts w:eastAsia="Calibri"/>
          <w:lang w:eastAsia="ar-SA"/>
        </w:rPr>
      </w:r>
    </w:p>
    <w:p>
      <w:pPr>
        <w:pStyle w:val="Normal"/>
        <w:numPr>
          <w:numId w:val="3"/>
          <w:ilvl w:val="0"/>
        </w:numPr>
        <w:tabs>
          <w:tab w:val="left" w:pos="993" w:leader="none"/>
        </w:tabs>
        <w:ind w:left="0" w:firstLine="709"/>
        <w:jc w:val="both"/>
      </w:pPr>
      <w:r>
        <w:t xml:space="preserve">в Типовых договорах признано утратившим силу приложение № 2 (акт приема-передач товаров (приемки выпо</w:t>
      </w:r>
      <w:r>
        <w:t xml:space="preserve">лненных работ, оказанных услуг);</w:t>
      </w:r>
    </w:p>
    <w:p>
      <w:pPr>
        <w:pStyle w:val="Normal"/>
        <w:numPr>
          <w:numId w:val="3"/>
          <w:ilvl w:val="0"/>
        </w:numPr>
        <w:tabs>
          <w:tab w:val="left" w:pos="993" w:leader="none"/>
        </w:tabs>
        <w:ind w:left="0" w:firstLine="709"/>
        <w:jc w:val="both"/>
      </w:pPr>
      <w:r>
        <w:t xml:space="preserve">в Методических рекомендациях по составлению проектов договоров даны рекомендации</w:t>
      </w:r>
      <w:r>
        <w:t xml:space="preserve"> по применению формы</w:t>
      </w:r>
      <w:r>
        <w:t xml:space="preserve"> акта приема-передачи товаров, работ, услуг при заключении договоров (раздел 2)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Приказ К</w:t>
      </w:r>
      <w:r>
        <w:t xml:space="preserve">онтрольного управления </w:t>
      </w:r>
      <w:r>
        <w:t xml:space="preserve">от 29.10.2024 №</w:t>
      </w:r>
      <w:r>
        <w:rPr>
          <w:lang w:val="en-US"/>
        </w:rPr>
        <w:t xml:space="preserve"> </w:t>
      </w:r>
      <w:r>
        <w:t xml:space="preserve">259-НПА размещен на сайте </w:t>
      </w:r>
      <w:r>
        <w:t xml:space="preserve">Контрольного управления</w:t>
      </w:r>
      <w:r>
        <w:t xml:space="preserve"> </w:t>
      </w:r>
      <w:r>
        <w:t xml:space="preserve">(</w:t>
      </w:r>
      <w:r>
        <w:fldChar w:fldCharType="begin"/>
      </w:r>
      <w:r>
        <w:instrText xml:space="preserve"> HYPERLINK "https://uk.nso.ru/page/58" </w:instrText>
      </w:r>
      <w:r>
        <w:fldChar w:fldCharType="separate"/>
      </w:r>
      <w:r>
        <w:rPr>
          <w:rStyle w:val="Hyperlink"/>
        </w:rPr>
        <w:t xml:space="preserve">https://uk.nso.ru/page/58</w:t>
      </w:r>
      <w:r>
        <w:fldChar w:fldCharType="end"/>
      </w:r>
      <w:r>
        <w:t xml:space="preserve">), </w:t>
      </w:r>
      <w:r>
        <w:t xml:space="preserve">официально опубликован (</w:t>
      </w:r>
      <w:r>
        <w:fldChar w:fldCharType="begin"/>
      </w:r>
      <w:r>
        <w:instrText xml:space="preserve"> HYPERLINK "http://publication.pravo.gov.ru/document/5401202411010007" </w:instrText>
      </w:r>
      <w:r>
        <w:fldChar w:fldCharType="separate"/>
      </w:r>
      <w:r>
        <w:rPr>
          <w:rStyle w:val="Hyperlink"/>
        </w:rPr>
        <w:t xml:space="preserve">http://publication.pravo.gov.ru/document/5401202411010007</w:t>
      </w:r>
      <w:r>
        <w:fldChar w:fldCharType="end"/>
      </w:r>
      <w:r>
        <w:t xml:space="preserve">).</w:t>
      </w:r>
    </w:p>
    <w:sectPr>
      <w:headerReference w:type="default" r:id="rId7"/>
      <w:type w:val="nextPage"/>
      <w:pgSz w:w="11906" w:h="16838"/>
      <w:pgMar w:top="1134" w:right="567" w:bottom="1276" w:left="1418" w:header="1134" w:footer="782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character" w:styleId="UserStyle_0">
    <w:name w:val="Верхний колонтитул Знак"/>
    <w:next w:val="UserStyle_0"/>
    <w:link w:val="Header"/>
    <w:uiPriority w:val="99"/>
    <w:rPr>
      <w:sz w:val="28"/>
      <w:szCs w:val="28"/>
      <w:lang w:val="ru-RU" w:eastAsia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BodyText2">
    <w:name w:val="Основной текст 2"/>
    <w:basedOn w:val="Normal"/>
    <w:next w:val="BodyText2"/>
    <w:link w:val="UserStyle_1"/>
    <w:pPr>
      <w:jc w:val="both"/>
    </w:pPr>
  </w:style>
  <w:style w:type="character" w:styleId="UserStyle_1">
    <w:name w:val="Основной текст 2 Знак"/>
    <w:next w:val="UserStyle_1"/>
    <w:link w:val="BodyText2"/>
    <w:rPr>
      <w:sz w:val="28"/>
      <w:szCs w:val="28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2"/>
    <w:pPr>
      <w:jc w:val="center"/>
    </w:pPr>
    <w:rPr>
      <w:b/>
      <w:bCs/>
    </w:rPr>
  </w:style>
  <w:style w:type="character" w:styleId="UserStyle_2">
    <w:name w:val="Основной текст 3 Знак"/>
    <w:next w:val="UserStyle_2"/>
    <w:link w:val="BodyText3"/>
    <w:rPr>
      <w:b/>
      <w:bCs/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Block Text"/>
    <w:basedOn w:val="Normal"/>
    <w:next w:val="UserStyle_3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UserStyle_5">
    <w:name w:val="Default"/>
    <w:next w:val="UserStyle_5"/>
    <w:link w:val="Normal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UserStyle_6">
    <w:name w:val="Style5"/>
    <w:basedOn w:val="Normal"/>
    <w:next w:val="UserStyle_6"/>
    <w:link w:val="Normal"/>
    <w:uiPriority w:val="99"/>
    <w:pPr>
      <w:widowControl w:val="off"/>
      <w:spacing w:line="372" w:lineRule="exact"/>
      <w:ind w:firstLine="701"/>
      <w:jc w:val="both"/>
    </w:pPr>
    <w:rPr>
      <w:rFonts w:eastAsia="Times New Roman"/>
      <w:sz w:val="24"/>
      <w:szCs w:val="24"/>
    </w:rPr>
  </w:style>
  <w:style w:type="character" w:styleId="UserStyle_7">
    <w:name w:val="Font Style14"/>
    <w:next w:val="UserStyle_7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UserStyle_8">
    <w:name w:val="Font Style15"/>
    <w:next w:val="UserStyle_8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9">
    <w:name w:val="ConsPlusNormal"/>
    <w:next w:val="UserStyle_9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0">
    <w:name w:val="Официальный"/>
    <w:basedOn w:val="Normal"/>
    <w:next w:val="UserStyle_10"/>
    <w:link w:val="Normal"/>
    <w:qFormat/>
    <w:pPr>
      <w:ind w:firstLine="709"/>
    </w:pPr>
    <w:rPr>
      <w:rFonts w:eastAsia="Calibri"/>
      <w:szCs w:val="22"/>
      <w:lang w:eastAsia="en-US"/>
    </w:rPr>
  </w:style>
  <w:style w:type="character" w:styleId="UserStyle_11">
    <w:name w:val="gwt-inlinelabel"/>
    <w:next w:val="UserStyle_11"/>
    <w:link w:val="Normal"/>
  </w:style>
  <w:style w:type="character" w:styleId="UserStyle_12">
    <w:name w:val="Цветовое выделение"/>
    <w:next w:val="UserStyle_12"/>
    <w:link w:val="Normal"/>
    <w:uiPriority w:val="99"/>
    <w:rPr>
      <w:b/>
      <w:bCs/>
      <w:color w:val="26282f"/>
    </w:rPr>
  </w:style>
  <w:style w:type="character" w:styleId="UserStyle_13">
    <w:name w:val="Неразрешенное упоминание"/>
    <w:next w:val="UserStyle_13"/>
    <w:link w:val="Normal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Просмотренная гиперссылка"/>
    <w:next w:val="FollowedHyperlink"/>
    <w:link w:val="Normal"/>
    <w:rPr>
      <w:color w:val="954f72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3854</Characters>
  <CharactersWithSpaces>4521</CharactersWithSpaces>
  <Company>АГНОиПНО</Company>
  <DocSecurity>0</DocSecurity>
  <HyperlinksChanged>false</HyperlinksChanged>
  <Lines>32</Lines>
  <Pages>2</Pages>
  <Paragraphs>9</Paragraphs>
  <ScaleCrop>false</ScaleCrop>
  <SharedDoc>false</SharedDoc>
  <Template>Normal</Template>
  <Words>676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Карпова Ирина Юрьевна</cp:lastModifiedBy>
  <cp:revision>77</cp:revision>
  <dcterms:created xsi:type="dcterms:W3CDTF">2023-02-22T08:50:00Z</dcterms:created>
  <dcterms:modified xsi:type="dcterms:W3CDTF">2025-01-23T02:11:00Z</dcterms:modified>
  <cp:version>1048576</cp:version>
</cp:coreProperties>
</file>