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jc w:val="right"/>
      </w:pPr>
      <w:r>
        <w:t xml:space="preserve">о</w:t>
      </w:r>
      <w:r>
        <w:t xml:space="preserve">т</w:t>
      </w:r>
      <w:r>
        <w:t xml:space="preserve"> 03.12.2024 № 03-12/1716/39</w:t>
      </w:r>
    </w:p>
    <w:p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</w:r>
    </w:p>
    <w:p>
      <w:pPr>
        <w:pStyle w:val="Normal"/>
        <w:widowControl w:val="off"/>
        <w:jc w:val="center"/>
      </w:pPr>
      <w:r>
        <w:rPr>
          <w:b/>
        </w:rPr>
        <w:t xml:space="preserve">Об изменении</w:t>
      </w:r>
      <w:r>
        <w:rPr>
          <w:b/>
        </w:rPr>
        <w:t xml:space="preserve"> существенных условий контракта, предметом которого является проектирование объектов строительства (реконструкции), в части изменения (продления) конечного срока выполнения работ по контракту по основаниям, предусмотренным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Normal"/>
        <w:widowControl w:val="off"/>
        <w:tabs>
          <w:tab w:val="left" w:pos="709" w:leader="none"/>
        </w:tabs>
        <w:jc w:val="center"/>
      </w:pP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К</w:t>
      </w:r>
      <w:r>
        <w:rPr>
          <w:color w:val="000000"/>
        </w:rPr>
        <w:t xml:space="preserve">онтрольное управление Новосибирской области </w:t>
      </w:r>
      <w:r>
        <w:rPr>
          <w:color w:val="000000"/>
        </w:rPr>
        <w:t xml:space="preserve">(далее – </w:t>
      </w:r>
      <w:r>
        <w:rPr>
          <w:color w:val="000000"/>
        </w:rPr>
        <w:t xml:space="preserve">Контрольное у</w:t>
      </w:r>
      <w:r>
        <w:rPr>
          <w:color w:val="000000"/>
        </w:rPr>
        <w:t xml:space="preserve">правление)</w:t>
      </w:r>
      <w:r>
        <w:rPr>
          <w:color w:val="000000"/>
        </w:rPr>
        <w:t xml:space="preserve"> </w:t>
      </w:r>
      <w:r>
        <w:rPr>
          <w:color w:val="000000"/>
        </w:rPr>
        <w:t xml:space="preserve">по</w:t>
      </w:r>
      <w:r>
        <w:rPr>
          <w:color w:val="000000"/>
        </w:rPr>
        <w:t xml:space="preserve"> вопросу </w:t>
      </w:r>
      <w:r>
        <w:rPr>
          <w:color w:val="000000"/>
        </w:rPr>
        <w:t xml:space="preserve">о возможности </w:t>
      </w:r>
      <w:r>
        <w:rPr>
          <w:color w:val="000000"/>
        </w:rPr>
        <w:t xml:space="preserve">изменения существенных условий контракт</w:t>
      </w:r>
      <w:r>
        <w:rPr>
          <w:color w:val="000000"/>
        </w:rPr>
        <w:t xml:space="preserve">а, предметом </w:t>
      </w:r>
      <w:r>
        <w:rPr>
          <w:color w:val="000000"/>
        </w:rPr>
        <w:t xml:space="preserve">которого является проектирование</w:t>
      </w:r>
      <w:r>
        <w:rPr>
          <w:color w:val="000000"/>
        </w:rPr>
        <w:t xml:space="preserve"> объектов строительства (реконструкции), в части изменения (продления) конечного срока выполнения работ по контракту </w:t>
      </w:r>
      <w:r>
        <w:rPr>
          <w:color w:val="000000"/>
        </w:rPr>
        <w:t xml:space="preserve">по основаниям, предусмотренным частью</w:t>
      </w:r>
      <w:r>
        <w:rPr>
          <w:color w:val="000000"/>
        </w:rPr>
        <w:t xml:space="preserve"> </w:t>
      </w:r>
      <w:r>
        <w:rPr>
          <w:color w:val="000000"/>
        </w:rPr>
        <w:t xml:space="preserve">65.1 статьи 112 Федеральн</w:t>
      </w:r>
      <w:r>
        <w:rPr>
          <w:color w:val="000000"/>
        </w:rPr>
        <w:t xml:space="preserve">ого</w:t>
      </w:r>
      <w:r>
        <w:rPr>
          <w:color w:val="000000"/>
        </w:rPr>
        <w:t xml:space="preserve"> закон</w:t>
      </w:r>
      <w:r>
        <w:rPr>
          <w:color w:val="000000"/>
        </w:rPr>
        <w:t xml:space="preserve">а</w:t>
      </w:r>
      <w:r>
        <w:rPr>
          <w:color w:val="000000"/>
        </w:rPr>
        <w:t xml:space="preserve"> от 05.04.2013 №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44-ФЗ</w:t>
      </w:r>
      <w:r>
        <w:rPr>
          <w:color w:val="000000"/>
        </w:rPr>
        <w:t xml:space="preserve"> </w:t>
      </w:r>
      <w:r>
        <w:rPr>
          <w:color w:val="000000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0"/>
        </w:rPr>
        <w:t xml:space="preserve">(далее – </w:t>
      </w:r>
      <w:r>
        <w:rPr>
          <w:color w:val="000000"/>
        </w:rPr>
        <w:t xml:space="preserve">Закон о контрактной системе</w:t>
      </w:r>
      <w:r>
        <w:rPr>
          <w:color w:val="000000"/>
        </w:rPr>
        <w:t xml:space="preserve">), </w:t>
      </w:r>
      <w:r>
        <w:rPr>
          <w:color w:val="000000"/>
        </w:rPr>
        <w:t xml:space="preserve">сообщает следующее.</w:t>
      </w: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Частью 2 статьи 34 </w:t>
      </w:r>
      <w:r>
        <w:rPr>
          <w:rFonts w:eastAsia="Calibri"/>
          <w:lang w:eastAsia="ar-SA"/>
        </w:rPr>
        <w:t xml:space="preserve">Закон</w:t>
      </w:r>
      <w:r>
        <w:rPr>
          <w:rFonts w:eastAsia="Calibri"/>
          <w:lang w:eastAsia="ar-SA"/>
        </w:rPr>
        <w:t xml:space="preserve">а</w:t>
      </w:r>
      <w:r>
        <w:rPr>
          <w:rFonts w:eastAsia="Calibri"/>
          <w:lang w:eastAsia="ar-SA"/>
        </w:rPr>
        <w:t xml:space="preserve"> о контрактной системе </w:t>
      </w:r>
      <w:r>
        <w:rPr>
          <w:rFonts w:eastAsia="Calibri"/>
          <w:lang w:eastAsia="ar-SA"/>
        </w:rPr>
        <w:t xml:space="preserve">установлено, что при исполнении контракта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изменение его существенных условий не допускается, за исключением случаев, предусмотренных </w:t>
      </w:r>
      <w:r>
        <w:rPr>
          <w:rFonts w:eastAsia="Calibri"/>
          <w:lang w:eastAsia="ar-SA"/>
        </w:rPr>
        <w:t xml:space="preserve">Закон</w:t>
      </w:r>
      <w:r>
        <w:rPr>
          <w:rFonts w:eastAsia="Calibri"/>
          <w:lang w:eastAsia="ar-SA"/>
        </w:rPr>
        <w:t xml:space="preserve">ом</w:t>
      </w:r>
      <w:r>
        <w:rPr>
          <w:rFonts w:eastAsia="Calibri"/>
          <w:lang w:eastAsia="ar-SA"/>
        </w:rPr>
        <w:t xml:space="preserve"> о контрактной системе</w:t>
      </w:r>
      <w:r>
        <w:rPr>
          <w:rFonts w:eastAsia="Calibri"/>
          <w:lang w:eastAsia="ar-SA"/>
        </w:rPr>
        <w:t xml:space="preserve">. Перечень случаев установлен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положениями </w:t>
      </w:r>
      <w:r>
        <w:rPr>
          <w:rFonts w:eastAsia="Calibri"/>
          <w:lang w:eastAsia="ar-SA"/>
        </w:rPr>
        <w:t xml:space="preserve">ч</w:t>
      </w:r>
      <w:r>
        <w:rPr>
          <w:rFonts w:eastAsia="Calibri"/>
          <w:lang w:eastAsia="ar-SA"/>
        </w:rPr>
        <w:t xml:space="preserve">асти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1 статьи 95 и част</w:t>
      </w:r>
      <w:r>
        <w:rPr>
          <w:rFonts w:eastAsia="Calibri"/>
          <w:lang w:eastAsia="ar-SA"/>
        </w:rPr>
        <w:t xml:space="preserve">ей</w:t>
      </w:r>
      <w:r>
        <w:rPr>
          <w:rFonts w:eastAsia="Calibri"/>
          <w:lang w:eastAsia="ar-SA"/>
        </w:rPr>
        <w:t xml:space="preserve"> 62</w:t>
      </w:r>
      <w:r>
        <w:rPr>
          <w:rFonts w:eastAsia="Calibri"/>
          <w:lang w:eastAsia="ar-SA"/>
        </w:rPr>
        <w:t xml:space="preserve">,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1, 65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2, 65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3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статьи 112 </w:t>
      </w:r>
      <w:r>
        <w:rPr>
          <w:rFonts w:eastAsia="Calibri"/>
          <w:lang w:eastAsia="ar-SA"/>
        </w:rPr>
        <w:t xml:space="preserve">указанного закона.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основании части 65.1 статьи 112 </w:t>
      </w:r>
      <w:r>
        <w:rPr>
          <w:rFonts w:eastAsia="Calibri"/>
          <w:lang w:eastAsia="ar-SA"/>
        </w:rPr>
        <w:t xml:space="preserve">Закона о контрактной системе </w:t>
      </w:r>
      <w:r>
        <w:rPr>
          <w:rFonts w:eastAsia="Calibri"/>
          <w:lang w:eastAsia="ar-SA"/>
        </w:rPr>
        <w:t xml:space="preserve">по соглашению </w:t>
      </w:r>
      <w:r>
        <w:rPr>
          <w:rFonts w:eastAsia="Calibri"/>
          <w:lang w:eastAsia="ar-SA"/>
        </w:rPr>
        <w:t xml:space="preserve">сторон допускается изменение существенных условий контракта, заключенного до 1 января 2025 года, если при исполнении такого контракта возникли не зависящие от сторон контракта обстоятельства, влекущие невозможность его исполнения. Предусмотренное указанной частью изменение осуществляется с соблюдением положений частей 1.3 - 1.6 статьи 95 Закона о контрактной системе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</w:t>
      </w:r>
      <w:r>
        <w:rPr>
          <w:rFonts w:eastAsia="Calibri"/>
          <w:lang w:eastAsia="ar-SA"/>
        </w:rPr>
        <w:t xml:space="preserve"> при осуществлении закупки для федеральных нужд, нужд субъекта Российской Федерации, муниципальных нужд соответственно.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письмах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Министерства финансов российской Федерации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от 12.04.2022 №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24-01-07/31697, от 18.04.2022 </w:t>
      </w:r>
      <w:r>
        <w:rPr>
          <w:rFonts w:eastAsia="Calibri"/>
          <w:lang w:eastAsia="ar-SA"/>
        </w:rPr>
        <w:t xml:space="preserve">№</w:t>
      </w:r>
      <w:r>
        <w:rPr>
          <w:rFonts w:eastAsia="Calibri"/>
          <w:lang w:eastAsia="ar-SA"/>
        </w:rPr>
        <w:t xml:space="preserve"> 24-06-06/34049 разъяснено, что на основании </w:t>
      </w:r>
      <w:r>
        <w:rPr>
          <w:rFonts w:eastAsia="Calibri"/>
          <w:lang w:eastAsia="ar-SA"/>
        </w:rPr>
        <w:t xml:space="preserve">части 65.1 статьи 112 Закона о контрактной системе </w:t>
      </w:r>
      <w:r>
        <w:rPr>
          <w:rFonts w:eastAsia="Calibri"/>
          <w:i/>
          <w:lang w:eastAsia="ar-SA"/>
        </w:rPr>
        <w:t xml:space="preserve">при наличии</w:t>
      </w:r>
      <w:r>
        <w:rPr>
          <w:rFonts w:eastAsia="Calibri"/>
          <w:lang w:eastAsia="ar-SA"/>
        </w:rPr>
        <w:t xml:space="preserve"> предусмотренного данной нормой </w:t>
      </w:r>
      <w:r>
        <w:rPr>
          <w:rFonts w:eastAsia="Calibri"/>
          <w:i/>
          <w:lang w:eastAsia="ar-SA"/>
        </w:rPr>
        <w:t xml:space="preserve">решения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i/>
          <w:lang w:eastAsia="ar-SA"/>
        </w:rPr>
        <w:t xml:space="preserve">могут быть изменены любые существенные условия контракта</w:t>
      </w:r>
      <w:r>
        <w:rPr>
          <w:rFonts w:eastAsia="Calibri"/>
          <w:lang w:eastAsia="ar-SA"/>
        </w:rPr>
        <w:t xml:space="preserve">, заключенного до указанной в </w:t>
      </w:r>
      <w:r>
        <w:rPr>
          <w:rFonts w:eastAsia="Calibri"/>
          <w:lang w:eastAsia="ar-SA"/>
        </w:rPr>
        <w:t xml:space="preserve">части 65.1 статьи 112 Закона о контрактной системе </w:t>
      </w:r>
      <w:r>
        <w:rPr>
          <w:rFonts w:eastAsia="Calibri"/>
          <w:lang w:eastAsia="ar-SA"/>
        </w:rPr>
        <w:t xml:space="preserve">даты, </w:t>
      </w:r>
      <w:r>
        <w:rPr>
          <w:rFonts w:eastAsia="Calibri"/>
          <w:i/>
          <w:lang w:eastAsia="ar-SA"/>
        </w:rPr>
        <w:t xml:space="preserve">если при исполнении такого контракта возникли независящие от сторон контракта обстоятельства, влекущие невозможность его исполнения</w:t>
      </w:r>
      <w:r>
        <w:rPr>
          <w:rFonts w:eastAsia="Calibri"/>
          <w:lang w:eastAsia="ar-SA"/>
        </w:rPr>
        <w:t xml:space="preserve">. 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sz w:val="20"/>
          <w:szCs w:val="20"/>
        </w:rPr>
      </w:pPr>
      <w:r>
        <w:rPr>
          <w:rFonts w:eastAsia="Calibri"/>
          <w:lang w:eastAsia="ar-SA"/>
        </w:rPr>
        <w:t xml:space="preserve">На основании вышеизложенного, Контрольное управление полагает, что</w:t>
      </w:r>
      <w:r>
        <w:rPr>
          <w:rFonts w:eastAsia="Calibri"/>
          <w:lang w:eastAsia="ar-SA"/>
        </w:rPr>
        <w:t xml:space="preserve"> изменение </w:t>
      </w:r>
      <w:r>
        <w:rPr>
          <w:rFonts w:eastAsia="Calibri"/>
          <w:lang w:eastAsia="ar-SA"/>
        </w:rPr>
        <w:t xml:space="preserve">существенных условий контракта, предметом которого является проектировани</w:t>
      </w:r>
      <w:r>
        <w:rPr>
          <w:rFonts w:eastAsia="Calibri"/>
          <w:lang w:eastAsia="ar-SA"/>
        </w:rPr>
        <w:t xml:space="preserve">е</w:t>
      </w:r>
      <w:r>
        <w:rPr>
          <w:rFonts w:eastAsia="Calibri"/>
          <w:lang w:eastAsia="ar-SA"/>
        </w:rPr>
        <w:t xml:space="preserve"> объектов строительства (реконструкции), в части изменения (продления) конечного срока выполнения работ по контракту</w:t>
      </w:r>
      <w:r>
        <w:rPr>
          <w:rFonts w:eastAsia="Calibri"/>
          <w:lang w:eastAsia="ar-SA"/>
        </w:rPr>
        <w:t xml:space="preserve">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возможно </w:t>
      </w:r>
      <w:r>
        <w:rPr>
          <w:rFonts w:eastAsia="Calibri"/>
          <w:lang w:eastAsia="ar-SA"/>
        </w:rPr>
        <w:t xml:space="preserve">по основаниям, предусмотренным частью 65.1 статьи 112 Закона о контрактной системе</w:t>
      </w:r>
      <w:r>
        <w:rPr>
          <w:rFonts w:eastAsia="Calibri"/>
          <w:lang w:eastAsia="ar-SA"/>
        </w:rPr>
        <w:t xml:space="preserve">, при соблюдении </w:t>
      </w:r>
      <w:r>
        <w:rPr>
          <w:rFonts w:eastAsia="Calibri"/>
          <w:lang w:eastAsia="ar-SA"/>
        </w:rPr>
        <w:t xml:space="preserve">установленных условий.</w:t>
      </w:r>
      <w:r>
        <w:rPr>
          <w:sz w:val="20"/>
          <w:szCs w:val="20"/>
        </w:rPr>
        <w:t xml:space="preserve"> </w:t>
      </w:r>
    </w:p>
    <w:sectPr>
      <w:headerReference w:type="default" r:id="rId7"/>
      <w:type w:val="nextPage"/>
      <w:pgSz w:w="11906" w:h="16838"/>
      <w:pgMar w:top="1276" w:right="567" w:bottom="1276" w:left="1418" w:header="1134" w:footer="782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Верхний колонтитул Знак"/>
    <w:next w:val="UserStyle_0"/>
    <w:link w:val="Header"/>
    <w:uiPriority w:val="99"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BodyText2">
    <w:name w:val="Основной текст 2"/>
    <w:basedOn w:val="Normal"/>
    <w:next w:val="BodyText2"/>
    <w:link w:val="UserStyle_1"/>
    <w:pPr>
      <w:jc w:val="both"/>
    </w:pPr>
  </w:style>
  <w:style w:type="character" w:styleId="UserStyle_1">
    <w:name w:val="Основной текст 2 Знак"/>
    <w:next w:val="UserStyle_1"/>
    <w:link w:val="BodyText2"/>
    <w:rPr>
      <w:sz w:val="28"/>
      <w:szCs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2"/>
    <w:pPr>
      <w:jc w:val="center"/>
    </w:pPr>
    <w:rPr>
      <w:b/>
      <w:bCs/>
    </w:rPr>
  </w:style>
  <w:style w:type="character" w:styleId="UserStyle_2">
    <w:name w:val="Основной текст 3 Знак"/>
    <w:next w:val="UserStyle_2"/>
    <w:link w:val="BodyText3"/>
    <w:rPr>
      <w:b/>
      <w:bCs/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Block Text"/>
    <w:basedOn w:val="Normal"/>
    <w:next w:val="UserStyle_3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5">
    <w:name w:val="Default"/>
    <w:next w:val="UserStyle_5"/>
    <w:link w:val="Normal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UserStyle_6">
    <w:name w:val="Style5"/>
    <w:basedOn w:val="Normal"/>
    <w:next w:val="UserStyle_6"/>
    <w:link w:val="Normal"/>
    <w:uiPriority w:val="99"/>
    <w:pPr>
      <w:widowControl w:val="off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character" w:styleId="UserStyle_7">
    <w:name w:val="Font Style14"/>
    <w:next w:val="UserStyle_7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8">
    <w:name w:val="Font Style15"/>
    <w:next w:val="UserStyle_8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9">
    <w:name w:val="ConsPlusNormal"/>
    <w:next w:val="UserStyle_9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0">
    <w:name w:val="Официальный"/>
    <w:basedOn w:val="Normal"/>
    <w:next w:val="UserStyle_10"/>
    <w:link w:val="Normal"/>
    <w:qFormat/>
    <w:pPr>
      <w:ind w:firstLine="709"/>
    </w:pPr>
    <w:rPr>
      <w:rFonts w:eastAsia="Calibri"/>
      <w:szCs w:val="22"/>
      <w:lang w:eastAsia="en-US"/>
    </w:rPr>
  </w:style>
  <w:style w:type="character" w:styleId="UserStyle_11">
    <w:name w:val="gwt-inlinelabel"/>
    <w:next w:val="UserStyle_11"/>
    <w:link w:val="Normal"/>
  </w:style>
  <w:style w:type="character" w:styleId="UserStyle_12">
    <w:name w:val="Цветовое выделение"/>
    <w:next w:val="UserStyle_12"/>
    <w:link w:val="Normal"/>
    <w:uiPriority w:val="99"/>
    <w:rPr>
      <w:b/>
      <w:bCs/>
      <w:color w:val="26282f"/>
    </w:rPr>
  </w:style>
  <w:style w:type="character" w:styleId="UserStyle_13">
    <w:name w:val="Неразрешенное упоминание"/>
    <w:next w:val="UserStyle_13"/>
    <w:link w:val="Normal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Просмотренная гиперссылка"/>
    <w:next w:val="FollowedHyperlink"/>
    <w:link w:val="Normal"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2558</Characters>
  <CharactersWithSpaces>3001</CharactersWithSpaces>
  <Company>АГНОиПНО</Company>
  <DocSecurity>0</DocSecurity>
  <HyperlinksChanged>false</HyperlinksChanged>
  <Lines>21</Lines>
  <Pages>2</Pages>
  <Paragraphs>5</Paragraphs>
  <ScaleCrop>false</ScaleCrop>
  <SharedDoc>false</SharedDoc>
  <Template>Normal</Template>
  <Words>448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91</cp:revision>
  <dcterms:created xsi:type="dcterms:W3CDTF">2023-02-22T08:50:00Z</dcterms:created>
  <dcterms:modified xsi:type="dcterms:W3CDTF">2025-01-23T02:23:00Z</dcterms:modified>
  <cp:version>1048576</cp:version>
</cp:coreProperties>
</file>