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2410" w:leader="none"/>
        </w:tabs>
        <w:ind w:right="-369"/>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character">
                  <wp:posOffset>3932555</wp:posOffset>
                </wp:positionH>
                <wp:positionV relativeFrom="paragraph">
                  <wp:posOffset>14605</wp:posOffset>
                </wp:positionV>
                <wp:extent cx="3110230" cy="251460"/>
                <wp:effectExtent l="0" t="0" r="0" b="0"/>
                <wp:wrapNone/>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3110230" cy="25146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char;margin-left:309.65pt;mso-position-horizontal:absolute;mso-position-vertical-relative:text;margin-top:1.15pt;mso-position-vertical:absolute;width:244.90pt;height:19.80pt;mso-wrap-distance-left:0.00pt;mso-wrap-distance-top:0.00pt;mso-wrap-distance-right:0.00pt;mso-wrap-distance-bottom:0.00pt;" stroked="f">
                <v:path textboxrect="0,0,0,0"/>
                <v:imagedata r:id="rId9" o:title=""/>
              </v:shape>
            </w:pict>
          </mc:Fallback>
        </mc:AlternateContent>
      </w:r>
    </w:p>
    <w:p>
      <w:pPr>
        <w:pStyle w:val="Normal"/>
        <w:jc w:val="center"/>
      </w:pPr>
    </w:p>
    <w:p>
      <w:pPr>
        <w:pStyle w:val="Normal"/>
        <w:jc w:val="center"/>
      </w:pPr>
      <w:r>
        <w:t xml:space="preserve">Уважаемые коллеги!</w:t>
      </w:r>
    </w:p>
    <w:p>
      <w:pPr>
        <w:pStyle w:val="Normal"/>
        <w:shd w:val="clear" w:color="auto" w:fill="ffffff"/>
        <w:ind w:firstLine="709"/>
        <w:jc w:val="both"/>
      </w:pPr>
    </w:p>
    <w:p>
      <w:pPr>
        <w:pStyle w:val="Normal"/>
        <w:ind w:firstLine="709"/>
        <w:jc w:val="both"/>
      </w:pPr>
      <w:r>
        <w:t xml:space="preserve">Контрольное управление Новосибирской области (далее – Управление) в целях профилактики выявляемых в ходе контрольных мероприятий нарушений направляет следующую информацию для руководства в работе и доведения до сведения подведомственных государственных бюджетных учреждений и государственных автономных учреждений.</w:t>
      </w:r>
    </w:p>
    <w:p>
      <w:pPr>
        <w:pStyle w:val="Normal"/>
        <w:ind w:firstLine="709"/>
        <w:jc w:val="both"/>
      </w:pPr>
      <w:r>
        <w:rPr>
          <w:b/>
        </w:rPr>
        <w:t xml:space="preserve">1. О неправомерности осуществления государственными бюджетными учреждениями и государственными автономными учреждениями выплат материальной помощи за счет средств субсидии на финансовое обеспечение выполнения ими государственного задания.</w:t>
      </w:r>
    </w:p>
    <w:p>
      <w:pPr>
        <w:pStyle w:val="Normal"/>
        <w:ind w:firstLine="709"/>
        <w:jc w:val="both"/>
      </w:pPr>
      <w:r>
        <w:t xml:space="preserve">Пунктом 1 статьи 78.1 Бюджетного кодекса Российской Федерации       (далее – БК РФ) установлено, что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w:t>
      </w:r>
      <w:r>
        <w:rPr>
          <w:color w:val="000000"/>
        </w:rPr>
        <w:t xml:space="preserve">юридическим лицам и нормативных затрат на содержание государственного (муниципального) имущества.</w:t>
      </w:r>
    </w:p>
    <w:p>
      <w:pPr>
        <w:pStyle w:val="Normal"/>
        <w:ind w:firstLine="709"/>
        <w:jc w:val="both"/>
      </w:pPr>
      <w:r>
        <w:fldChar w:fldCharType="begin"/>
      </w:r>
      <w:r>
        <w:instrText xml:space="preserve"> HYPERLINK  \l "Par36"</w:instrText>
      </w:r>
      <w:r>
        <w:fldChar w:fldCharType="separate"/>
      </w:r>
      <w:r>
        <w:rPr>
          <w:rStyle w:val="Hyperlink"/>
          <w:color w:val="000000"/>
        </w:rPr>
        <w:t xml:space="preserve">Порядок</w:t>
      </w:r>
      <w:r>
        <w:fldChar w:fldCharType="end"/>
      </w:r>
      <w:r>
        <w:rPr>
          <w:color w:val="000000"/>
        </w:rPr>
        <w:t xml:space="preserve"> предоставления из областного бюджета Новосибирской области субсидий </w:t>
      </w:r>
      <w:r>
        <w:t xml:space="preserve">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установлен Постановлением Правительства Новосибирской области от 14.10.2013 № 435-п (далее – Порядок № 435).</w:t>
      </w:r>
    </w:p>
    <w:p>
      <w:pPr>
        <w:pStyle w:val="Normal"/>
        <w:ind w:firstLine="709"/>
        <w:jc w:val="both"/>
      </w:pPr>
      <w:r>
        <w:t xml:space="preserve">Пунктами 2, 3 Порядка № 435 предусмотрено, что объем субсидии определяется </w:t>
      </w:r>
      <w:r>
        <w:rPr>
          <w:i/>
          <w:color w:val="000000"/>
        </w:rPr>
        <w:t xml:space="preserve">на основании нормативных и иных затрат</w:t>
      </w:r>
      <w:r>
        <w:rPr>
          <w:color w:val="000000"/>
        </w:rPr>
        <w:t xml:space="preserve">, рассчитываемых в </w:t>
      </w:r>
      <w:r>
        <w:fldChar w:fldCharType="begin"/>
      </w:r>
      <w:r>
        <w:instrText xml:space="preserve"> HYPERLINK "consultantplus://offline/ref=995F30F8FED31E69238C5C5E44E0D01782BF8AF1EA5097F9B0A984A5F49F932DA56C38FD80774CBF734E931455E5B4326575170E126E8D99CB72D63F3En6E"</w:instrText>
      </w:r>
      <w:r>
        <w:fldChar w:fldCharType="separate"/>
      </w:r>
      <w:r>
        <w:rPr>
          <w:rStyle w:val="Hyperlink"/>
          <w:color w:val="000000"/>
        </w:rPr>
        <w:t xml:space="preserve">порядке</w:t>
      </w:r>
      <w:r>
        <w:fldChar w:fldCharType="end"/>
      </w:r>
      <w:r>
        <w:rPr>
          <w:color w:val="000000"/>
        </w:rPr>
        <w:t xml:space="preserve">, установленном</w:t>
      </w:r>
      <w:r>
        <w:t xml:space="preserve"> постановлением Правительства Новосибирской области от 23.11.2015 № 406-п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                   (далее – Порядок </w:t>
      </w:r>
      <w:r>
        <w:rPr>
          <w:color w:val="000000"/>
        </w:rPr>
        <w:t xml:space="preserve">№ 406-п), и на основании </w:t>
      </w:r>
      <w:r>
        <w:fldChar w:fldCharType="begin"/>
      </w:r>
      <w:r>
        <w:instrText xml:space="preserve"> HYPERLINK "consultantplus://offline/ref=995F30F8FED31E69238C5C5E44E0D01782BF8AF1EA5097FCB1AC84A5F49F932DA56C38FD80774CBF734E931655E5B4326575170E126E8D99CB72D63F3En6E"</w:instrText>
      </w:r>
      <w:r>
        <w:fldChar w:fldCharType="separate"/>
      </w:r>
      <w:r>
        <w:rPr>
          <w:rStyle w:val="Hyperlink"/>
          <w:color w:val="000000"/>
        </w:rPr>
        <w:t xml:space="preserve">соглашения</w:t>
      </w:r>
      <w:r>
        <w:fldChar w:fldCharType="end"/>
      </w:r>
      <w:r>
        <w:rPr>
          <w:color w:val="000000"/>
        </w:rPr>
        <w:t xml:space="preserve"> о предоставлении из областного бюджета Новосибирской области субсидии</w:t>
      </w:r>
      <w:r>
        <w:t xml:space="preserve">.</w:t>
      </w:r>
    </w:p>
    <w:p>
      <w:pPr>
        <w:pStyle w:val="Normal"/>
        <w:ind w:firstLine="709"/>
        <w:jc w:val="both"/>
      </w:pPr>
      <w:r>
        <w:t xml:space="preserve">В соответствии с пунктом 2  Порядка </w:t>
      </w:r>
      <w:r>
        <w:rPr>
          <w:color w:val="000000"/>
        </w:rPr>
        <w:t xml:space="preserve">№ 406-п</w:t>
      </w:r>
      <w:r>
        <w:t xml:space="preserve"> государственное задание формируется в соответствии с основными видами деятельности, предусмотренными учредительными документами учреждения, </w:t>
      </w:r>
      <w:r>
        <w:rPr>
          <w:i/>
        </w:rPr>
        <w:t xml:space="preserve">с учетом потребности</w:t>
      </w:r>
      <w:r>
        <w:t xml:space="preserve">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а также с учетом показателей выполнения учреждением государственного задания в отчетном финансовом году.</w:t>
      </w:r>
    </w:p>
    <w:p>
      <w:pPr>
        <w:pStyle w:val="Normal"/>
        <w:ind w:firstLine="709"/>
        <w:jc w:val="both"/>
      </w:pPr>
      <w:r>
        <w:t xml:space="preserve">Пунктом 7 Порядка № 406-п предусмотрено, что </w:t>
      </w:r>
      <w:r>
        <w:rPr>
          <w:i/>
        </w:rPr>
        <w:t xml:space="preserve">объем финансового обеспечения</w:t>
      </w:r>
      <w:r>
        <w:t xml:space="preserve"> выполнения государственного задания рассчитывается на основании:</w:t>
      </w:r>
    </w:p>
    <w:p>
      <w:pPr>
        <w:pStyle w:val="Normal"/>
        <w:ind w:firstLine="709"/>
        <w:jc w:val="both"/>
      </w:pPr>
      <w:r>
        <w:t xml:space="preserve">- нормативных затрат на оказание государственных услуг; </w:t>
      </w:r>
    </w:p>
    <w:p>
      <w:pPr>
        <w:pStyle w:val="Normal"/>
        <w:ind w:firstLine="709"/>
        <w:jc w:val="both"/>
      </w:pPr>
      <w:r>
        <w:t xml:space="preserve">- нормативных затрат, связанных с выполнением работ</w:t>
      </w:r>
    </w:p>
    <w:p>
      <w:pPr>
        <w:pStyle w:val="Normal"/>
        <w:ind w:firstLine="709"/>
        <w:jc w:val="both"/>
      </w:pPr>
      <w:r>
        <w:t xml:space="preserve">с учетом затрат на содержание закрепленного за государственным учреждением Новосибирской области или приобретенного недвижимого имущества и особо ценного движимого имущества, а также затрат на уплату налогов, в качестве объекта налогообложения по которым признается имущество учреждения.</w:t>
      </w:r>
    </w:p>
    <w:p>
      <w:pPr>
        <w:pStyle w:val="Normal"/>
        <w:ind w:firstLine="709"/>
        <w:jc w:val="both"/>
      </w:pPr>
      <w:r>
        <w:t xml:space="preserve">Пунктом 9 Порядка № 406 закреплено, что </w:t>
      </w:r>
      <w:r>
        <w:rPr>
          <w:i/>
        </w:rPr>
        <w:t xml:space="preserve">нормативные затраты на оказание государственной услуги</w:t>
      </w:r>
      <w:r>
        <w:t xml:space="preserve"> рассчитываются на единицу показателя объема оказания услуги, установленного в государственном задании, </w:t>
      </w:r>
      <w:r>
        <w:rPr>
          <w:i/>
        </w:rPr>
        <w:t xml:space="preserve">на основе </w:t>
      </w:r>
      <w:r>
        <w:t xml:space="preserve">определяемых в соответствии с Порядком № 406-п</w:t>
      </w:r>
      <w:r>
        <w:rPr>
          <w:i/>
        </w:rPr>
        <w:t xml:space="preserve"> базового норматива затрат</w:t>
      </w:r>
      <w:r>
        <w:t xml:space="preserve"> и корректирующих коэффициентов к базовым нормативам затрат.</w:t>
      </w:r>
    </w:p>
    <w:p>
      <w:pPr>
        <w:pStyle w:val="Normal"/>
        <w:ind w:firstLine="709"/>
        <w:jc w:val="both"/>
      </w:pPr>
      <w:r>
        <w:t xml:space="preserve">В пунктах 14 и 15 Порядка № 406 установлен закрытый перечень затрат, которые включаются в базовый норматив (затраты, непосредственно связанные с оказанием государственной услуги, и затраты на общехозяйственные нужды на оказание государственной услуги). </w:t>
      </w:r>
    </w:p>
    <w:p>
      <w:pPr>
        <w:pStyle w:val="Normal"/>
        <w:ind w:firstLine="709"/>
        <w:jc w:val="both"/>
      </w:pPr>
      <w:r>
        <w:t xml:space="preserve">Так в базовый норматив затрат включаются:</w:t>
      </w:r>
    </w:p>
    <w:p>
      <w:pPr>
        <w:pStyle w:val="Normal"/>
        <w:ind w:firstLine="709"/>
        <w:jc w:val="both"/>
      </w:pPr>
      <w:r>
        <w:t xml:space="preserve">- </w:t>
      </w:r>
      <w:r>
        <w:rPr>
          <w:i/>
        </w:rPr>
        <w:t xml:space="preserve">затраты на оплату труда</w:t>
      </w:r>
      <w:r>
        <w:t xml:space="preserve">, в том числе начисления на выплаты по оплате труда работников, непосредственно связанных с оказанием государственной услуги, работников, которые не принимают непосредственного участия в оказании государственной услуги, включая административно-управленческий персонал, в случаях, установленных стандартами услуги;</w:t>
      </w:r>
    </w:p>
    <w:p>
      <w:pPr>
        <w:pStyle w:val="Normal"/>
        <w:ind w:firstLine="709"/>
        <w:jc w:val="both"/>
      </w:pPr>
      <w:r>
        <w:t xml:space="preserve">- затраты на приобретение материальных запасов и особо ценного движимого имущества, потребляемого (используемого) в процессе оказания государственной услуги с учетом срока полезного использования;</w:t>
      </w:r>
    </w:p>
    <w:p>
      <w:pPr>
        <w:pStyle w:val="Normal"/>
        <w:ind w:firstLine="709"/>
        <w:jc w:val="both"/>
      </w:pPr>
      <w:bookmarkStart w:id="0" w:name="Par10"/>
      <w:bookmarkEnd w:id="0"/>
      <w:r>
        <w:t xml:space="preserve">-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 затраты на приобретение услуг связи, транспортных услуг, затраты на прочие общехозяйственные нужды.</w:t>
      </w:r>
    </w:p>
    <w:p>
      <w:pPr>
        <w:pStyle w:val="Normal"/>
        <w:ind w:firstLine="709"/>
        <w:jc w:val="both"/>
      </w:pPr>
      <w:r>
        <w:t xml:space="preserve">Пунктом 19 Порядка № 406-п установлено, что</w:t>
      </w:r>
      <w:r>
        <w:rPr>
          <w:i/>
        </w:rPr>
        <w:t xml:space="preserve"> </w:t>
      </w:r>
      <w:r>
        <w:t xml:space="preserve">в</w:t>
      </w:r>
      <w:r>
        <w:rPr>
          <w:i/>
        </w:rPr>
        <w:t xml:space="preserve"> нормативные затраты на выполнение работы</w:t>
      </w:r>
      <w:r>
        <w:t xml:space="preserve"> включаются в том числе:</w:t>
      </w:r>
    </w:p>
    <w:p>
      <w:pPr>
        <w:pStyle w:val="Normal"/>
        <w:ind w:firstLine="709"/>
        <w:jc w:val="both"/>
      </w:pPr>
      <w:r>
        <w:t xml:space="preserve">- </w:t>
      </w:r>
      <w:r>
        <w:rPr>
          <w:i/>
        </w:rPr>
        <w:t xml:space="preserve">затраты на оплату труда</w:t>
      </w:r>
      <w:r>
        <w:t xml:space="preserve"> с начислениями на выплаты по оплате труда работников, непосредственно связанных с выполнением работы,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стандартами, порядками и регламентами выполнения работ;</w:t>
      </w:r>
    </w:p>
    <w:p>
      <w:pPr>
        <w:pStyle w:val="Normal"/>
        <w:ind w:firstLine="709"/>
        <w:jc w:val="both"/>
      </w:pPr>
      <w:r>
        <w:t xml:space="preserve">-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аренду имущества);</w:t>
      </w:r>
    </w:p>
    <w:p>
      <w:pPr>
        <w:pStyle w:val="Normal"/>
        <w:ind w:firstLine="709"/>
        <w:jc w:val="both"/>
      </w:pPr>
      <w:r>
        <w:t xml:space="preserve">- затраты на иные расходы, непосредственно связанные с выполнением работы; на оплату коммунальных услуг; на содержание объектов недвижимого имущества, необходимого для выполнения государственного задания (в том числе затраты на аренду имущества); на содержание объектов особо ценного движимого имущества и имущества, необходимого для выполнения государственного задания; затраты на приобретение услуг связи; затраты на приобретение транспортных услуг; на прочие общехозяйственные нужды.</w:t>
      </w:r>
    </w:p>
    <w:p>
      <w:pPr>
        <w:pStyle w:val="Normal"/>
        <w:ind w:firstLine="709"/>
        <w:jc w:val="both"/>
      </w:pPr>
      <w:r>
        <w:t xml:space="preserve">Таким образом, в расчет </w:t>
      </w:r>
      <w:r>
        <w:rPr>
          <w:i/>
        </w:rPr>
        <w:t xml:space="preserve">объема финансового обеспечения</w:t>
      </w:r>
      <w:r>
        <w:t xml:space="preserve"> выполнения государственного задания включаются затраты на оплату труда, </w:t>
      </w:r>
      <w:r>
        <w:rPr>
          <w:i/>
        </w:rPr>
        <w:t xml:space="preserve">непосредственно связанные</w:t>
      </w:r>
      <w:r>
        <w:t xml:space="preserve"> с оказанием государственной услуги (выполнением работы), то есть – заработная плата, в том числе начисления на выплаты по оплате труда работников.</w:t>
      </w:r>
    </w:p>
    <w:p>
      <w:pPr>
        <w:pStyle w:val="Normal"/>
        <w:ind w:firstLine="709"/>
        <w:jc w:val="both"/>
      </w:pPr>
      <w:r>
        <w:t xml:space="preserve">В соответствии со статьей 129 Трудового кодекса Российской Федерации (далее – ТК РФ) заработная плата (оплата труда работника) определяется как вознаграждение за т</w:t>
      </w:r>
      <w:r>
        <w:t xml:space="preserve">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Normal"/>
        <w:ind w:firstLine="709"/>
        <w:jc w:val="both"/>
      </w:pPr>
      <w:r>
        <w:t xml:space="preserve">В свою очередь, материальная помощь является выплатой </w:t>
      </w:r>
      <w:r>
        <w:rPr>
          <w:i/>
        </w:rPr>
        <w:t xml:space="preserve">социального характера</w:t>
      </w:r>
      <w:r>
        <w:t xml:space="preserve"> и не </w:t>
      </w:r>
      <w:r>
        <w:rPr>
          <w:color w:val="000000"/>
        </w:rPr>
        <w:t xml:space="preserve">входит в состав заработной платы. Выплаты социального характера (в том числе материальная помощь) не зависят от квалификации работников, сложности, качества, количества, условий выполнения самой работы, не являются вознаграждением за труд, соответственно, не могут быть учтены в затратах на оказание государственной услуги (работы) и </w:t>
      </w:r>
      <w:r>
        <w:t xml:space="preserve">объеме финансового обеспечения выполнения государственного задания</w:t>
      </w:r>
      <w:r>
        <w:rPr>
          <w:color w:val="000000"/>
        </w:rPr>
        <w:t xml:space="preserve"> (Письмо Минтруда России от 28.09.2020 № 14-1/ООГ-15412, </w:t>
      </w:r>
      <w:r>
        <w:fldChar w:fldCharType="begin"/>
      </w:r>
      <w:r>
        <w:instrText xml:space="preserve"> HYPERLINK "consultantplus://offline/ref=CCB13414DB0DD4AEFD2DD39BAEB39240657AACF42D4B27430B0791785BB43591C31BA695A1249A6DA4FADBCBEDEF07325A458F9FB7711F82yA6AH"</w:instrText>
      </w:r>
      <w:r>
        <w:fldChar w:fldCharType="separate"/>
      </w:r>
      <w:r>
        <w:rPr>
          <w:rStyle w:val="Hyperlink"/>
          <w:color w:val="000000"/>
        </w:rPr>
        <w:t xml:space="preserve">Постановление</w:t>
      </w:r>
      <w:r>
        <w:fldChar w:fldCharType="end"/>
      </w:r>
      <w:r>
        <w:rPr>
          <w:color w:val="000000"/>
        </w:rPr>
        <w:t xml:space="preserve"> Президиума ВАС РФ от 14.05.2013 № 17744/12). </w:t>
      </w:r>
      <w:r>
        <w:t xml:space="preserve">Трудовым законодательством виды и порядок выплаты материальной помощи работникам не предусмотрены. Оказание материальной помощи работникам является </w:t>
      </w:r>
      <w:r>
        <w:rPr>
          <w:i/>
        </w:rPr>
        <w:t xml:space="preserve">правом работодателя, а не обязанностью</w:t>
      </w:r>
      <w:r>
        <w:t xml:space="preserve">.</w:t>
      </w:r>
    </w:p>
    <w:p>
      <w:pPr>
        <w:pStyle w:val="Normal"/>
        <w:ind w:firstLine="709"/>
        <w:jc w:val="both"/>
      </w:pPr>
      <w:r>
        <w:t xml:space="preserve">На основании вышеизложенного, материальная помощь </w:t>
      </w:r>
      <w:r>
        <w:rPr>
          <w:i/>
        </w:rPr>
        <w:t xml:space="preserve">не может</w:t>
      </w:r>
      <w:r>
        <w:t xml:space="preserve"> выплачиваться за счет средств субсидии на финансовое обеспечение выполнения государственного задания. Выплата работникам материальной помощи из средств субсидии на выполнение государственного задания </w:t>
      </w:r>
      <w:r>
        <w:rPr>
          <w:color w:val="000000"/>
        </w:rPr>
        <w:t xml:space="preserve">в соответствии со статьей 306.4 БК РФ </w:t>
      </w:r>
      <w:r>
        <w:t xml:space="preserve">признается </w:t>
      </w:r>
      <w:r>
        <w:rPr>
          <w:i/>
        </w:rPr>
        <w:t xml:space="preserve">нецелевым использованием средств</w:t>
      </w:r>
      <w:r>
        <w:t xml:space="preserve">, предоставленных из областного бюджета Новосибирской области, и согласно пункту 7 Порядка № 435-п подлежит возврату в областной бюджет Новосибирской области.</w:t>
      </w:r>
    </w:p>
    <w:p>
      <w:pPr>
        <w:pStyle w:val="Normal"/>
        <w:ind w:firstLine="709"/>
        <w:jc w:val="both"/>
      </w:pPr>
      <w:r>
        <w:t xml:space="preserve">В свою очередь, Управлением </w:t>
      </w:r>
      <w:r>
        <w:rPr>
          <w:color w:val="000000"/>
        </w:rPr>
        <w:t xml:space="preserve">отмечается, что по смыслу </w:t>
      </w:r>
      <w:r>
        <w:fldChar w:fldCharType="begin"/>
      </w:r>
      <w:r>
        <w:instrText xml:space="preserve"> HYPERLINK "consultantplus://offline/ref=E8000FD3E236BB9F7091CD274A32C0A13FF212CDD1421E5C10D23EF86EA6D7891B9E2BADF51A6A07FED927EB323332ACF334CB4B5F1231F"</w:instrText>
      </w:r>
      <w:r>
        <w:fldChar w:fldCharType="separate"/>
      </w:r>
      <w:r>
        <w:rPr>
          <w:rStyle w:val="Hyperlink"/>
          <w:color w:val="000000"/>
        </w:rPr>
        <w:t xml:space="preserve">статьи 8</w:t>
      </w:r>
      <w:r>
        <w:fldChar w:fldCharType="end"/>
      </w:r>
      <w:r>
        <w:rPr>
          <w:color w:val="000000"/>
        </w:rPr>
        <w:t xml:space="preserve"> и в соответствии с </w:t>
      </w:r>
      <w:r>
        <w:fldChar w:fldCharType="begin"/>
      </w:r>
      <w:r>
        <w:instrText xml:space="preserve"> HYPERLINK "consultantplus://offline/ref=E8000FD3E236BB9F7091CD274A32C0A13FF212CDD1421E5C10D23EF86EA6D7891B9E2BADF7136252A69626B7746F21AEF334C9424321CDE51134F"</w:instrText>
      </w:r>
      <w:r>
        <w:fldChar w:fldCharType="separate"/>
      </w:r>
      <w:r>
        <w:rPr>
          <w:rStyle w:val="Hyperlink"/>
          <w:color w:val="000000"/>
        </w:rPr>
        <w:t xml:space="preserve">частью 3 статьи 41</w:t>
      </w:r>
      <w:r>
        <w:fldChar w:fldCharType="end"/>
      </w:r>
      <w:r>
        <w:rPr>
          <w:color w:val="000000"/>
        </w:rPr>
        <w:t xml:space="preserve"> ТК РФ с учетом финансово-экономического положения работодателя локальные нормативные акты или коллективный договор могут содержать нормы, улучшающие положение работников по сравнению с установленным трудовым законодательством. В связи с чем, локальными нормативными актами или коллективными договорами могут быть предусмотрены дополнительные гарантии и меры социальной поддержки работников учреждений. </w:t>
      </w:r>
    </w:p>
    <w:p>
      <w:pPr>
        <w:pStyle w:val="Normal"/>
        <w:ind w:firstLine="709"/>
        <w:jc w:val="both"/>
      </w:pPr>
      <w:r>
        <w:t xml:space="preserve">Таким образом, материальная помощь может выплачиваться работникам бюджетных и</w:t>
      </w:r>
      <w:r>
        <w:rPr>
          <w:color w:val="ff0000"/>
        </w:rPr>
        <w:t xml:space="preserve"> </w:t>
      </w:r>
      <w:r>
        <w:t xml:space="preserve">автономных учреждений за счет средств от иной, приносящей доход деятельности учреждения, при этом </w:t>
      </w:r>
      <w:r>
        <w:rPr>
          <w:color w:val="000000"/>
        </w:rPr>
        <w:t xml:space="preserve">размер и случаи выплаты такой помощи должны быть определены </w:t>
      </w:r>
      <w:r>
        <w:t xml:space="preserve">локальными нормативными актами учреждения</w:t>
      </w:r>
      <w:r>
        <w:rPr>
          <w:color w:val="000000"/>
        </w:rPr>
        <w:t xml:space="preserve">.</w:t>
      </w:r>
    </w:p>
    <w:p>
      <w:pPr>
        <w:pStyle w:val="Normal"/>
        <w:ind w:firstLine="709"/>
        <w:jc w:val="both"/>
      </w:pPr>
      <w:r>
        <w:rPr>
          <w:b/>
        </w:rPr>
        <w:t xml:space="preserve">2. О необходимости согласования изменений в план                    финансово-хозяйственной деятельности (далее – План ФХД) автономного учреждения с наблюдательным советом.</w:t>
      </w:r>
    </w:p>
    <w:p>
      <w:pPr>
        <w:pStyle w:val="Normal"/>
        <w:ind w:firstLine="709"/>
        <w:jc w:val="both"/>
      </w:pPr>
      <w:r>
        <w:t xml:space="preserve">Приказом Министерства финансов Российской Федерации от 31.08.2018 № 186н </w:t>
      </w:r>
      <w:r>
        <w:rPr>
          <w:rFonts w:eastAsia="Calibri"/>
          <w:lang w:eastAsia="en-US"/>
        </w:rPr>
        <w:t xml:space="preserve">утверждены </w:t>
      </w:r>
      <w:r>
        <w:t xml:space="preserve">требования к составлению и утверждению Плана ФХД государственного (муниципального) бюджетного учреждения, государственного (муниципального) автономного учреждения (далее – </w:t>
      </w:r>
      <w:r>
        <w:rPr>
          <w:rFonts w:eastAsia="Calibri"/>
          <w:lang w:eastAsia="en-US"/>
        </w:rPr>
        <w:t xml:space="preserve">Требования № 186н).</w:t>
      </w:r>
    </w:p>
    <w:p>
      <w:pPr>
        <w:pStyle w:val="Normal"/>
        <w:ind w:firstLine="709"/>
        <w:jc w:val="both"/>
      </w:pPr>
      <w:r>
        <w:rPr>
          <w:color w:val="000000"/>
        </w:rPr>
        <w:t xml:space="preserve">Пунктом 1 Требований № 186н предусмотрено, что </w:t>
      </w:r>
      <w:r>
        <w:t xml:space="preserve">Требования № 186н к составлению и утверждению плана ФХД распространяются на государственные бюджетные учреждения и государственные автономные учреждения при составлении Плана ФХД (проекта Плана ФХД), утверждении Плана ФХД и </w:t>
      </w:r>
      <w:r>
        <w:rPr>
          <w:i/>
        </w:rPr>
        <w:t xml:space="preserve">внесении изменений в План ФХД.</w:t>
      </w:r>
    </w:p>
    <w:p>
      <w:pPr>
        <w:pStyle w:val="Normal"/>
        <w:ind w:firstLine="709"/>
        <w:jc w:val="both"/>
      </w:pPr>
      <w:r>
        <w:rPr>
          <w:color w:val="000000"/>
        </w:rPr>
        <w:t xml:space="preserve">Пунктами 2 и 4 Требований № 186н определено, что </w:t>
      </w:r>
      <w:r>
        <w:t xml:space="preserve">Учреждение </w:t>
      </w:r>
      <w:r>
        <w:rPr>
          <w:color w:val="000000"/>
        </w:rPr>
        <w:t xml:space="preserve">составляет и утверждает План ФХД в соответствии с Требованиями и </w:t>
      </w:r>
      <w:r>
        <w:fldChar w:fldCharType="begin"/>
      </w:r>
      <w:r>
        <w:instrText xml:space="preserve"> HYPERLINK "consultantplus://offline/ref=99730B2AE696D4B08178F3A196B16A63AD78A3ECFB3E340311E21A43AA1B979AC63B99555F424236C6E195C1B0CA53B1D3864D0539535413c1F5K"</w:instrText>
      </w:r>
      <w:r>
        <w:fldChar w:fldCharType="separate"/>
      </w:r>
      <w:r>
        <w:rPr>
          <w:rStyle w:val="Hyperlink"/>
          <w:i/>
          <w:color w:val="000000"/>
        </w:rPr>
        <w:t xml:space="preserve">порядком</w:t>
      </w:r>
      <w:r>
        <w:fldChar w:fldCharType="end"/>
      </w:r>
      <w:r>
        <w:rPr>
          <w:i/>
          <w:color w:val="000000"/>
        </w:rPr>
        <w:t xml:space="preserve">, установленным органом-учредителем.</w:t>
      </w:r>
      <w:r>
        <w:rPr>
          <w:color w:val="000000"/>
        </w:rPr>
        <w:t xml:space="preserve"> </w:t>
      </w:r>
      <w:r>
        <w:rPr>
          <w:bCs/>
          <w:color w:val="000000"/>
        </w:rPr>
        <w:t xml:space="preserve">Орган-учредитель должен установить следующие положения для составления и утверждения Плана ФХД для подведомственных учреждений:</w:t>
      </w:r>
    </w:p>
    <w:p>
      <w:pPr>
        <w:pStyle w:val="Normal"/>
        <w:ind w:firstLine="709"/>
        <w:jc w:val="both"/>
      </w:pPr>
      <w:r>
        <w:rPr>
          <w:color w:val="000000"/>
        </w:rPr>
        <w:t xml:space="preserve">- </w:t>
      </w:r>
      <w:r>
        <w:rPr>
          <w:bCs/>
          <w:color w:val="000000"/>
        </w:rPr>
        <w:t xml:space="preserve">сроки и порядок составления проекта Плана ФХД (при необходимости формирования проекта Плана ФХД);</w:t>
      </w:r>
    </w:p>
    <w:p>
      <w:pPr>
        <w:pStyle w:val="Normal"/>
        <w:ind w:firstLine="709"/>
        <w:jc w:val="both"/>
      </w:pPr>
      <w:r>
        <w:rPr>
          <w:color w:val="000000"/>
        </w:rPr>
        <w:t xml:space="preserve">- </w:t>
      </w:r>
      <w:r>
        <w:rPr>
          <w:bCs/>
          <w:color w:val="000000"/>
        </w:rPr>
        <w:t xml:space="preserve">сроки и порядок утверждения Плана ФХД;</w:t>
      </w:r>
    </w:p>
    <w:p>
      <w:pPr>
        <w:pStyle w:val="Normal"/>
        <w:ind w:firstLine="709"/>
        <w:jc w:val="both"/>
      </w:pPr>
      <w:r>
        <w:rPr>
          <w:i/>
          <w:color w:val="000000"/>
        </w:rPr>
        <w:t xml:space="preserve">- </w:t>
      </w:r>
      <w:r>
        <w:rPr>
          <w:bCs/>
          <w:i/>
          <w:color w:val="000000"/>
        </w:rPr>
        <w:t xml:space="preserve">порядок внесения изменений в План ФХД;</w:t>
      </w:r>
    </w:p>
    <w:p>
      <w:pPr>
        <w:pStyle w:val="Normal"/>
        <w:ind w:firstLine="709"/>
        <w:jc w:val="both"/>
      </w:pPr>
      <w:r>
        <w:rPr>
          <w:color w:val="000000"/>
        </w:rPr>
        <w:t xml:space="preserve">- </w:t>
      </w:r>
      <w:r>
        <w:rPr>
          <w:bCs/>
          <w:color w:val="000000"/>
        </w:rPr>
        <w:t xml:space="preserve">полномочия органа-учредителя или учреждения по утверждению Плана ФХД </w:t>
      </w:r>
      <w:r>
        <w:rPr>
          <w:bCs/>
          <w:i/>
          <w:color w:val="000000"/>
        </w:rPr>
        <w:t xml:space="preserve">(внесению изменений в План ФХД)</w:t>
      </w:r>
      <w:r>
        <w:rPr>
          <w:bCs/>
          <w:color w:val="000000"/>
        </w:rPr>
        <w:t xml:space="preserve"> с учетом положений </w:t>
      </w:r>
      <w:r>
        <w:fldChar w:fldCharType="begin"/>
      </w:r>
      <w:r>
        <w:instrText xml:space="preserve"> HYPERLINK "consultantplus://offline/ref=F6C2E9E5563440A9F98E185E9C798A2D4E2DD76ADBCD80CA479B7976DF22CBC6F25087FE957E5E0D9460A40290B7C4E628417D1EFDGFW6K"</w:instrText>
      </w:r>
      <w:r>
        <w:fldChar w:fldCharType="separate"/>
      </w:r>
      <w:r>
        <w:rPr>
          <w:rStyle w:val="Hyperlink"/>
          <w:bCs/>
          <w:color w:val="000000"/>
        </w:rPr>
        <w:t xml:space="preserve">пункта 46</w:t>
      </w:r>
      <w:r>
        <w:fldChar w:fldCharType="end"/>
      </w:r>
      <w:r>
        <w:rPr>
          <w:bCs/>
          <w:color w:val="000000"/>
        </w:rPr>
        <w:t xml:space="preserve"> Требований № 186, в числе которых указано, что </w:t>
      </w:r>
      <w:r>
        <w:t xml:space="preserve">План ФХД автономного учреждения утверждается руководителем автономного учреждения после рассмотрения проекта Плана ФХД наблюдательным советом автономного учреждения.</w:t>
      </w:r>
    </w:p>
    <w:p>
      <w:pPr>
        <w:pStyle w:val="Normal"/>
        <w:ind w:firstLine="709"/>
        <w:jc w:val="both"/>
      </w:pPr>
      <w:r>
        <w:rPr>
          <w:color w:val="000000"/>
        </w:rPr>
        <w:t xml:space="preserve">В соответствии со статьей 11 Федерального закона</w:t>
      </w:r>
      <w:r>
        <w:t xml:space="preserve"> от 03.11.2006 № 174-ФЗ «Об автономных учреждениях» </w:t>
      </w:r>
      <w:r>
        <w:rPr>
          <w:i/>
        </w:rPr>
        <w:t xml:space="preserve">наблюдательный совет</w:t>
      </w:r>
      <w:r>
        <w:t xml:space="preserve"> автономного учреждения рассматривает </w:t>
      </w:r>
      <w:r>
        <w:rPr>
          <w:i/>
        </w:rPr>
        <w:t xml:space="preserve">проект Плана </w:t>
      </w:r>
      <w:r>
        <w:rPr>
          <w:i/>
          <w:color w:val="000000"/>
        </w:rPr>
        <w:t xml:space="preserve">ФХД </w:t>
      </w:r>
      <w:r>
        <w:rPr>
          <w:color w:val="000000"/>
        </w:rPr>
        <w:t xml:space="preserve">автономного учреждения, по результатам указанного рассмотрения дает заключение, копия которого направляется</w:t>
      </w:r>
      <w:r>
        <w:t xml:space="preserve"> учредителю автономного учреждения. Руководитель автономного учреждения принимает решение по проекту Плана ФХД </w:t>
      </w:r>
      <w:r>
        <w:rPr>
          <w:i/>
        </w:rPr>
        <w:t xml:space="preserve">после рассмотрения заключения</w:t>
      </w:r>
      <w:r>
        <w:t xml:space="preserve"> </w:t>
      </w:r>
      <w:r>
        <w:rPr>
          <w:i/>
        </w:rPr>
        <w:t xml:space="preserve">наблюдательного совета</w:t>
      </w:r>
      <w:r>
        <w:t xml:space="preserve"> автономного учреждения.</w:t>
      </w:r>
    </w:p>
    <w:p>
      <w:pPr>
        <w:pStyle w:val="Normal"/>
        <w:ind w:firstLine="709"/>
        <w:jc w:val="both"/>
      </w:pPr>
      <w:r>
        <w:t xml:space="preserve">По результатам проверок, проведенных Управлением, устанавливались случаи, когда автономными учреждениями утверждались изменения в План ФХД </w:t>
      </w:r>
      <w:r>
        <w:rPr>
          <w:i/>
        </w:rPr>
        <w:t xml:space="preserve">без направления</w:t>
      </w:r>
      <w:r>
        <w:t xml:space="preserve"> проектов таких изменений в наблюдательный совет, что квалифицировалось как нарушение </w:t>
      </w:r>
      <w:r>
        <w:rPr>
          <w:rFonts w:eastAsia="Calibri"/>
          <w:color w:val="000000"/>
          <w:lang w:eastAsia="en-US"/>
        </w:rPr>
        <w:t xml:space="preserve">Требований № 186н.</w:t>
      </w:r>
    </w:p>
    <w:p>
      <w:pPr>
        <w:pStyle w:val="Normal"/>
        <w:ind w:firstLine="709"/>
        <w:jc w:val="both"/>
      </w:pPr>
      <w:r>
        <w:t xml:space="preserve">В свою очередь, при необходимости </w:t>
      </w:r>
      <w:r>
        <w:rPr>
          <w:rFonts w:eastAsia="Calibri"/>
          <w:lang w:eastAsia="en-US"/>
        </w:rPr>
        <w:t xml:space="preserve">внесения изменений в План ФХД автономное учреждение готовит проект изменений в План ФХД</w:t>
      </w:r>
      <w:r>
        <w:t xml:space="preserve">. </w:t>
      </w:r>
      <w:r>
        <w:rPr>
          <w:rFonts w:eastAsia="Calibri"/>
          <w:i/>
          <w:lang w:eastAsia="en-US"/>
        </w:rPr>
        <w:t xml:space="preserve">П</w:t>
      </w:r>
      <w:r>
        <w:rPr>
          <w:i/>
        </w:rPr>
        <w:t xml:space="preserve">роекты изменений к утвержденному Плану ФХД</w:t>
      </w:r>
      <w:r>
        <w:t xml:space="preserve"> автономного учреждения должны рассматриваться наблюдательным советом и утверждаться в том же порядке, в каком подготовлен основной документ.</w:t>
      </w:r>
      <w:r>
        <w:rPr>
          <w:rFonts w:eastAsia="Calibri"/>
          <w:lang w:eastAsia="en-US"/>
        </w:rPr>
        <w:t xml:space="preserve"> </w:t>
      </w:r>
      <w:r>
        <w:t xml:space="preserve">Указанная позиция также содержится в письме Министерства </w:t>
      </w:r>
      <w:r>
        <w:rPr>
          <w:bCs/>
        </w:rPr>
        <w:t xml:space="preserve">финансов Российской Федерации от 16.07.2020 № 09-07-07/62380.</w:t>
      </w:r>
    </w:p>
    <w:p>
      <w:pPr>
        <w:pStyle w:val="Normal"/>
        <w:ind w:firstLine="709"/>
        <w:jc w:val="both"/>
        <w:rPr>
          <w:bCs/>
        </w:rPr>
      </w:pPr>
      <w:r>
        <w:t xml:space="preserve">Таким образом, в соответствии с Требованиями № 186н органу-учредителю в устанавливаемом</w:t>
      </w:r>
      <w:r>
        <w:rPr>
          <w:color w:val="000000"/>
        </w:rPr>
        <w:t xml:space="preserve"> для подведомственных </w:t>
      </w:r>
      <w:r>
        <w:t xml:space="preserve">автономных</w:t>
      </w:r>
      <w:r>
        <w:rPr>
          <w:color w:val="ff0000"/>
        </w:rPr>
        <w:t xml:space="preserve"> </w:t>
      </w:r>
      <w:r>
        <w:rPr>
          <w:color w:val="000000"/>
        </w:rPr>
        <w:t xml:space="preserve">учреждений порядке </w:t>
      </w:r>
      <w:r>
        <w:t xml:space="preserve">составления и утверждения плана ФХД</w:t>
      </w:r>
      <w:r>
        <w:rPr>
          <w:color w:val="000000"/>
        </w:rPr>
        <w:t xml:space="preserve"> (например, в разделе «</w:t>
      </w:r>
      <w:r>
        <w:rPr>
          <w:bCs/>
        </w:rPr>
        <w:t xml:space="preserve">По</w:t>
      </w:r>
      <w:r>
        <w:rPr>
          <w:bCs/>
          <w:color w:val="000000"/>
        </w:rPr>
        <w:t xml:space="preserve">рядок внесения </w:t>
      </w:r>
      <w:r>
        <w:rPr>
          <w:bCs/>
        </w:rPr>
        <w:t xml:space="preserve">изменений в План ФХД») следует предусмотреть норму и механизм</w:t>
      </w:r>
      <w:r>
        <w:rPr>
          <w:bCs/>
          <w:color w:val="000000"/>
        </w:rPr>
        <w:t xml:space="preserve"> формирования </w:t>
      </w:r>
      <w:r>
        <w:rPr>
          <w:bCs/>
        </w:rPr>
        <w:t xml:space="preserve">автономным</w:t>
      </w:r>
      <w:r>
        <w:rPr>
          <w:bCs/>
          <w:color w:val="000000"/>
        </w:rPr>
        <w:t xml:space="preserve"> учреждением </w:t>
      </w:r>
      <w:r>
        <w:rPr>
          <w:rFonts w:eastAsia="Calibri"/>
          <w:lang w:eastAsia="en-US"/>
        </w:rPr>
        <w:t xml:space="preserve">п</w:t>
      </w:r>
      <w:r>
        <w:t xml:space="preserve">роекта изменений к утвержденному Плану ФХД и направление указанного проекта в наблюдательный совет для получения заключения и последующего утверждения</w:t>
      </w:r>
      <w:r>
        <w:rPr>
          <w:bCs/>
        </w:rPr>
        <w:t xml:space="preserve">.</w:t>
      </w:r>
    </w:p>
    <w:sectPr>
      <w:headerReference w:type="default" r:id="rId7"/>
      <w:headerReference w:type="first" r:id="rId8"/>
      <w:type w:val="nextPage"/>
      <w:pgSz w:w="11906" w:h="16838"/>
      <w:pgMar w:top="1134" w:right="567" w:bottom="1134" w:left="1418" w:header="709"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4030504040204"/>
  </w:font>
  <w:font w:name="Courier New">
    <w:panose1 w:val="02070309020205020404"/>
  </w:font>
  <w:font w:name="Mangal">
    <w:panose1 w:val="02040503050406030204"/>
  </w:font>
  <w:font w:name="Liberation Sans">
    <w:panose1 w:val="020B0604020202020204"/>
  </w:font>
  <w:font w:name="Calibri">
    <w:panose1 w:val="020F0502020204030204"/>
  </w:font>
  <w:font w:name="Cambria">
    <w:panose1 w:val="02040503050406030204"/>
  </w:font>
  <w:font w:name="Microsoft YaHei">
    <w:panose1 w:val="020B050302020302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 PAGE </w:instrText>
    </w:r>
    <w:r>
      <w:fldChar w:fldCharType="separate"/>
    </w:r>
    <w:r>
      <w:t xml:space="preserve">2</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8"/>
      <w:szCs w:val="28"/>
      <w:lang w:val="ru-RU" w:eastAsia="zh-CN" w:bidi="ar-SA"/>
    </w:rPr>
  </w:style>
  <w:style w:type="paragraph" w:styleId="Heading3">
    <w:name w:val="Заголовок 3"/>
    <w:basedOn w:val="Normal"/>
    <w:next w:val="BodyText"/>
    <w:link w:val="Normal"/>
    <w:qFormat/>
    <w:pPr>
      <w:numPr>
        <w:numId w:val="1"/>
        <w:ilvl w:val="2"/>
      </w:numPr>
      <w:spacing w:before="280" w:after="280"/>
      <w:outlineLvl w:val="2"/>
    </w:pPr>
    <w:rPr>
      <w:b/>
      <w:bCs/>
      <w:sz w:val="27"/>
      <w:szCs w:val="27"/>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WW8Num1z0"/>
    <w:next w:val="UserStyle_0"/>
    <w:link w:val="Normal"/>
  </w:style>
  <w:style w:type="character" w:styleId="UserStyle_1">
    <w:name w:val="WW8Num1z1"/>
    <w:next w:val="UserStyle_1"/>
    <w:link w:val="Normal"/>
  </w:style>
  <w:style w:type="character" w:styleId="UserStyle_2">
    <w:name w:val="WW8Num1z2"/>
    <w:next w:val="UserStyle_2"/>
    <w:link w:val="Normal"/>
  </w:style>
  <w:style w:type="character" w:styleId="UserStyle_3">
    <w:name w:val="WW8Num1z3"/>
    <w:next w:val="UserStyle_3"/>
    <w:link w:val="Normal"/>
  </w:style>
  <w:style w:type="character" w:styleId="UserStyle_4">
    <w:name w:val="WW8Num1z4"/>
    <w:next w:val="UserStyle_4"/>
    <w:link w:val="Normal"/>
  </w:style>
  <w:style w:type="character" w:styleId="UserStyle_5">
    <w:name w:val="WW8Num1z5"/>
    <w:next w:val="UserStyle_5"/>
    <w:link w:val="Normal"/>
  </w:style>
  <w:style w:type="character" w:styleId="UserStyle_6">
    <w:name w:val="WW8Num1z6"/>
    <w:next w:val="UserStyle_6"/>
    <w:link w:val="Normal"/>
  </w:style>
  <w:style w:type="character" w:styleId="UserStyle_7">
    <w:name w:val="WW8Num1z7"/>
    <w:next w:val="UserStyle_7"/>
    <w:link w:val="Normal"/>
  </w:style>
  <w:style w:type="character" w:styleId="UserStyle_8">
    <w:name w:val="WW8Num1z8"/>
    <w:next w:val="UserStyle_8"/>
    <w:link w:val="Normal"/>
  </w:style>
  <w:style w:type="character" w:styleId="UserStyle_9">
    <w:name w:val="WW8Num2z0"/>
    <w:next w:val="UserStyle_9"/>
    <w:link w:val="Normal"/>
  </w:style>
  <w:style w:type="character" w:styleId="UserStyle_10">
    <w:name w:val="WW8Num2z1"/>
    <w:next w:val="UserStyle_10"/>
    <w:link w:val="Normal"/>
  </w:style>
  <w:style w:type="character" w:styleId="UserStyle_11">
    <w:name w:val="WW8Num2z2"/>
    <w:next w:val="UserStyle_11"/>
    <w:link w:val="Normal"/>
  </w:style>
  <w:style w:type="character" w:styleId="UserStyle_12">
    <w:name w:val="WW8Num2z3"/>
    <w:next w:val="UserStyle_12"/>
    <w:link w:val="Normal"/>
  </w:style>
  <w:style w:type="character" w:styleId="UserStyle_13">
    <w:name w:val="WW8Num2z4"/>
    <w:next w:val="UserStyle_13"/>
    <w:link w:val="Normal"/>
  </w:style>
  <w:style w:type="character" w:styleId="UserStyle_14">
    <w:name w:val="WW8Num2z5"/>
    <w:next w:val="UserStyle_14"/>
    <w:link w:val="Normal"/>
  </w:style>
  <w:style w:type="character" w:styleId="UserStyle_15">
    <w:name w:val="WW8Num2z6"/>
    <w:next w:val="UserStyle_15"/>
    <w:link w:val="Normal"/>
  </w:style>
  <w:style w:type="character" w:styleId="UserStyle_16">
    <w:name w:val="WW8Num2z7"/>
    <w:next w:val="UserStyle_16"/>
    <w:link w:val="Normal"/>
  </w:style>
  <w:style w:type="character" w:styleId="UserStyle_17">
    <w:name w:val="WW8Num2z8"/>
    <w:next w:val="UserStyle_17"/>
    <w:link w:val="Normal"/>
  </w:style>
  <w:style w:type="character" w:styleId="UserStyle_18">
    <w:name w:val="WW8Num3z0"/>
    <w:next w:val="UserStyle_18"/>
    <w:link w:val="Normal"/>
  </w:style>
  <w:style w:type="character" w:styleId="UserStyle_19">
    <w:name w:val="WW8Num3z1"/>
    <w:next w:val="UserStyle_19"/>
    <w:link w:val="Normal"/>
  </w:style>
  <w:style w:type="character" w:styleId="UserStyle_20">
    <w:name w:val="WW8Num3z2"/>
    <w:next w:val="UserStyle_20"/>
    <w:link w:val="Normal"/>
  </w:style>
  <w:style w:type="character" w:styleId="UserStyle_21">
    <w:name w:val="WW8Num3z3"/>
    <w:next w:val="UserStyle_21"/>
    <w:link w:val="Normal"/>
  </w:style>
  <w:style w:type="character" w:styleId="UserStyle_22">
    <w:name w:val="WW8Num3z4"/>
    <w:next w:val="UserStyle_22"/>
    <w:link w:val="Normal"/>
  </w:style>
  <w:style w:type="character" w:styleId="UserStyle_23">
    <w:name w:val="WW8Num3z5"/>
    <w:next w:val="UserStyle_23"/>
    <w:link w:val="Normal"/>
  </w:style>
  <w:style w:type="character" w:styleId="UserStyle_24">
    <w:name w:val="WW8Num3z6"/>
    <w:next w:val="UserStyle_24"/>
    <w:link w:val="Normal"/>
  </w:style>
  <w:style w:type="character" w:styleId="UserStyle_25">
    <w:name w:val="WW8Num3z7"/>
    <w:next w:val="UserStyle_25"/>
    <w:link w:val="Normal"/>
  </w:style>
  <w:style w:type="character" w:styleId="UserStyle_26">
    <w:name w:val="WW8Num3z8"/>
    <w:next w:val="UserStyle_26"/>
    <w:link w:val="Normal"/>
  </w:style>
  <w:style w:type="character" w:styleId="UserStyle_27">
    <w:name w:val="WW8Num4z0"/>
    <w:next w:val="UserStyle_27"/>
    <w:link w:val="Normal"/>
  </w:style>
  <w:style w:type="character" w:styleId="UserStyle_28">
    <w:name w:val="WW8Num4z1"/>
    <w:next w:val="UserStyle_28"/>
    <w:link w:val="Normal"/>
  </w:style>
  <w:style w:type="character" w:styleId="UserStyle_29">
    <w:name w:val="WW8Num4z2"/>
    <w:next w:val="UserStyle_29"/>
    <w:link w:val="Normal"/>
  </w:style>
  <w:style w:type="character" w:styleId="UserStyle_30">
    <w:name w:val="WW8Num4z3"/>
    <w:next w:val="UserStyle_30"/>
    <w:link w:val="Normal"/>
  </w:style>
  <w:style w:type="character" w:styleId="UserStyle_31">
    <w:name w:val="WW8Num4z4"/>
    <w:next w:val="UserStyle_31"/>
    <w:link w:val="Normal"/>
  </w:style>
  <w:style w:type="character" w:styleId="UserStyle_32">
    <w:name w:val="WW8Num4z5"/>
    <w:next w:val="UserStyle_32"/>
    <w:link w:val="Normal"/>
  </w:style>
  <w:style w:type="character" w:styleId="UserStyle_33">
    <w:name w:val="WW8Num4z6"/>
    <w:next w:val="UserStyle_33"/>
    <w:link w:val="Normal"/>
  </w:style>
  <w:style w:type="character" w:styleId="UserStyle_34">
    <w:name w:val="WW8Num4z7"/>
    <w:next w:val="UserStyle_34"/>
    <w:link w:val="Normal"/>
  </w:style>
  <w:style w:type="character" w:styleId="UserStyle_35">
    <w:name w:val="WW8Num4z8"/>
    <w:next w:val="UserStyle_35"/>
    <w:link w:val="Normal"/>
  </w:style>
  <w:style w:type="character" w:styleId="UserStyle_36">
    <w:name w:val="WW8Num5z0"/>
    <w:next w:val="UserStyle_36"/>
    <w:link w:val="Normal"/>
  </w:style>
  <w:style w:type="character" w:styleId="UserStyle_37">
    <w:name w:val="WW8Num6z0"/>
    <w:next w:val="UserStyle_37"/>
    <w:link w:val="Normal"/>
  </w:style>
  <w:style w:type="character" w:styleId="UserStyle_38">
    <w:name w:val="WW8Num6z1"/>
    <w:next w:val="UserStyle_38"/>
    <w:link w:val="Normal"/>
  </w:style>
  <w:style w:type="character" w:styleId="UserStyle_39">
    <w:name w:val="WW8Num6z2"/>
    <w:next w:val="UserStyle_39"/>
    <w:link w:val="Normal"/>
  </w:style>
  <w:style w:type="character" w:styleId="UserStyle_40">
    <w:name w:val="WW8Num6z3"/>
    <w:next w:val="UserStyle_40"/>
    <w:link w:val="Normal"/>
  </w:style>
  <w:style w:type="character" w:styleId="UserStyle_41">
    <w:name w:val="WW8Num6z4"/>
    <w:next w:val="UserStyle_41"/>
    <w:link w:val="Normal"/>
  </w:style>
  <w:style w:type="character" w:styleId="UserStyle_42">
    <w:name w:val="WW8Num6z5"/>
    <w:next w:val="UserStyle_42"/>
    <w:link w:val="Normal"/>
  </w:style>
  <w:style w:type="character" w:styleId="UserStyle_43">
    <w:name w:val="WW8Num6z6"/>
    <w:next w:val="UserStyle_43"/>
    <w:link w:val="Normal"/>
  </w:style>
  <w:style w:type="character" w:styleId="UserStyle_44">
    <w:name w:val="WW8Num6z7"/>
    <w:next w:val="UserStyle_44"/>
    <w:link w:val="Normal"/>
  </w:style>
  <w:style w:type="character" w:styleId="UserStyle_45">
    <w:name w:val="WW8Num6z8"/>
    <w:next w:val="UserStyle_45"/>
    <w:link w:val="Normal"/>
  </w:style>
  <w:style w:type="character" w:styleId="UserStyle_46">
    <w:name w:val="WW8Num7z0"/>
    <w:next w:val="UserStyle_46"/>
    <w:link w:val="Normal"/>
    <w:rPr>
      <w:rFonts w:ascii="Times New Roman" w:hAnsi="Times New Roman" w:eastAsia="Times New Roman" w:cs="Times New Roman"/>
    </w:rPr>
  </w:style>
  <w:style w:type="character" w:styleId="UserStyle_47">
    <w:name w:val="WW8Num7z1"/>
    <w:next w:val="UserStyle_47"/>
    <w:link w:val="Normal"/>
  </w:style>
  <w:style w:type="character" w:styleId="UserStyle_48">
    <w:name w:val="WW8Num7z2"/>
    <w:next w:val="UserStyle_48"/>
    <w:link w:val="Normal"/>
  </w:style>
  <w:style w:type="character" w:styleId="UserStyle_49">
    <w:name w:val="WW8Num7z3"/>
    <w:next w:val="UserStyle_49"/>
    <w:link w:val="Normal"/>
  </w:style>
  <w:style w:type="character" w:styleId="UserStyle_50">
    <w:name w:val="WW8Num7z4"/>
    <w:next w:val="UserStyle_50"/>
    <w:link w:val="Normal"/>
  </w:style>
  <w:style w:type="character" w:styleId="UserStyle_51">
    <w:name w:val="WW8Num7z5"/>
    <w:next w:val="UserStyle_51"/>
    <w:link w:val="Normal"/>
  </w:style>
  <w:style w:type="character" w:styleId="UserStyle_52">
    <w:name w:val="WW8Num7z6"/>
    <w:next w:val="UserStyle_52"/>
    <w:link w:val="Normal"/>
  </w:style>
  <w:style w:type="character" w:styleId="UserStyle_53">
    <w:name w:val="WW8Num7z7"/>
    <w:next w:val="UserStyle_53"/>
    <w:link w:val="Normal"/>
  </w:style>
  <w:style w:type="character" w:styleId="UserStyle_54">
    <w:name w:val="WW8Num7z8"/>
    <w:next w:val="UserStyle_54"/>
    <w:link w:val="Normal"/>
  </w:style>
  <w:style w:type="character" w:styleId="UserStyle_55">
    <w:name w:val="Основной шрифт абзаца1"/>
    <w:next w:val="UserStyle_55"/>
    <w:link w:val="Normal"/>
  </w:style>
  <w:style w:type="character" w:styleId="UserStyle_56">
    <w:name w:val="Верхний колонтитул Знак"/>
    <w:next w:val="UserStyle_56"/>
    <w:link w:val="Normal"/>
    <w:rPr>
      <w:sz w:val="28"/>
      <w:szCs w:val="28"/>
      <w:lang w:val="ru-RU" w:bidi="ar-SA"/>
    </w:rPr>
  </w:style>
  <w:style w:type="character" w:styleId="Hyperlink">
    <w:name w:val="Гиперссылка"/>
    <w:next w:val="Hyperlink"/>
    <w:link w:val="Normal"/>
    <w:rPr>
      <w:rFonts w:cs="Times New Roman"/>
      <w:color w:val="0000ff"/>
      <w:u w:val="single"/>
    </w:rPr>
  </w:style>
  <w:style w:type="character" w:styleId="UserStyle_57">
    <w:name w:val="Основной текст 2 Знак"/>
    <w:next w:val="UserStyle_57"/>
    <w:link w:val="Normal"/>
    <w:rPr>
      <w:sz w:val="28"/>
      <w:szCs w:val="28"/>
      <w:lang w:val="ru-RU" w:bidi="ar-SA"/>
    </w:rPr>
  </w:style>
  <w:style w:type="character" w:styleId="UserStyle_58">
    <w:name w:val="Основной текст 3 Знак"/>
    <w:next w:val="UserStyle_58"/>
    <w:link w:val="Normal"/>
    <w:rPr>
      <w:b/>
      <w:bCs/>
      <w:sz w:val="28"/>
      <w:szCs w:val="28"/>
      <w:lang w:val="ru-RU" w:bidi="ar-SA"/>
    </w:rPr>
  </w:style>
  <w:style w:type="character" w:styleId="UserStyle_59">
    <w:name w:val=" Знак Знак4"/>
    <w:next w:val="UserStyle_59"/>
    <w:link w:val="Normal"/>
    <w:rPr>
      <w:rFonts w:ascii="Times New Roman" w:hAnsi="Times New Roman" w:eastAsia="Times New Roman" w:cs="Times New Roman"/>
      <w:sz w:val="28"/>
      <w:szCs w:val="28"/>
    </w:rPr>
  </w:style>
  <w:style w:type="character" w:styleId="FollowedHyperlink">
    <w:name w:val="Просмотренная гиперссылка"/>
    <w:next w:val="FollowedHyperlink"/>
    <w:link w:val="Normal"/>
    <w:rPr>
      <w:color w:val="800080"/>
      <w:u w:val="single"/>
    </w:rPr>
  </w:style>
  <w:style w:type="character" w:styleId="UserStyle_60">
    <w:name w:val="Подзаголовок Знак"/>
    <w:next w:val="UserStyle_60"/>
    <w:link w:val="Normal"/>
    <w:rPr>
      <w:rFonts w:ascii="Cambria" w:hAnsi="Cambria" w:eastAsia="Times New Roman" w:cs="Times New Roman"/>
      <w:sz w:val="24"/>
      <w:szCs w:val="24"/>
    </w:rPr>
  </w:style>
  <w:style w:type="character" w:styleId="UserStyle_61">
    <w:name w:val="Нижний колонтитул Знак"/>
    <w:next w:val="UserStyle_61"/>
    <w:link w:val="Normal"/>
    <w:rPr>
      <w:sz w:val="28"/>
      <w:szCs w:val="28"/>
    </w:rPr>
  </w:style>
  <w:style w:type="character" w:styleId="Strong">
    <w:name w:val="Строгий"/>
    <w:next w:val="Strong"/>
    <w:link w:val="Normal"/>
    <w:qFormat/>
    <w:rPr>
      <w:b/>
      <w:bCs/>
    </w:rPr>
  </w:style>
  <w:style w:type="character" w:styleId="UserStyle_62">
    <w:name w:val="Текст сноски Знак"/>
    <w:next w:val="UserStyle_62"/>
    <w:link w:val="Normal"/>
    <w:rPr>
      <w:rFonts w:ascii="Calibri" w:hAnsi="Calibri" w:eastAsia="Calibri" w:cs="Calibri"/>
    </w:rPr>
  </w:style>
  <w:style w:type="character" w:styleId="UserStyle_63">
    <w:name w:val="Footnote Characters"/>
    <w:next w:val="UserStyle_63"/>
    <w:link w:val="Normal"/>
    <w:rPr>
      <w:vertAlign w:val="superscript"/>
    </w:rPr>
  </w:style>
  <w:style w:type="character" w:styleId="UserStyle_64">
    <w:name w:val="Знак примечания1"/>
    <w:next w:val="UserStyle_64"/>
    <w:link w:val="Normal"/>
    <w:rPr>
      <w:sz w:val="16"/>
      <w:szCs w:val="16"/>
    </w:rPr>
  </w:style>
  <w:style w:type="character" w:styleId="UserStyle_65">
    <w:name w:val="Текст примечания Знак"/>
    <w:basedOn w:val="UserStyle_55"/>
    <w:next w:val="UserStyle_65"/>
    <w:link w:val="Normal"/>
  </w:style>
  <w:style w:type="character" w:styleId="UserStyle_66">
    <w:name w:val="Заголовок 3 Знак"/>
    <w:next w:val="UserStyle_66"/>
    <w:link w:val="Normal"/>
    <w:rPr>
      <w:b/>
      <w:bCs/>
      <w:sz w:val="27"/>
      <w:szCs w:val="27"/>
    </w:rPr>
  </w:style>
  <w:style w:type="paragraph" w:styleId="UserStyle_67">
    <w:name w:val="Heading"/>
    <w:basedOn w:val="Normal"/>
    <w:next w:val="BodyText"/>
    <w:link w:val="Normal"/>
    <w:pPr>
      <w:keepNext/>
      <w:spacing w:before="240" w:after="120"/>
    </w:pPr>
    <w:rPr>
      <w:rFonts w:ascii="Liberation Sans" w:hAnsi="Liberation Sans" w:eastAsia="Microsoft YaHei" w:cs="Mangal"/>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cs="Mangal"/>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68">
    <w:name w:val="Index"/>
    <w:basedOn w:val="Normal"/>
    <w:next w:val="UserStyle_68"/>
    <w:link w:val="Normal"/>
    <w:pPr>
      <w:suppressLineNumbers/>
    </w:pPr>
    <w:rPr>
      <w:rFonts w:cs="Mangal"/>
    </w:rPr>
  </w:style>
  <w:style w:type="paragraph" w:styleId="UserStyle_69">
    <w:name w:val="Header and Footer"/>
    <w:basedOn w:val="Normal"/>
    <w:next w:val="UserStyle_69"/>
    <w:link w:val="Normal"/>
    <w:pPr>
      <w:suppressLineNumbers/>
      <w:tabs>
        <w:tab w:val="center" w:pos="4819" w:leader="none"/>
        <w:tab w:val="right" w:pos="9638" w:leader="none"/>
      </w:tabs>
    </w:pPr>
  </w:style>
  <w:style w:type="paragraph" w:styleId="Header">
    <w:name w:val="Верхний колонтитул"/>
    <w:basedOn w:val="Normal"/>
    <w:next w:val="Header"/>
    <w:link w:val="Normal"/>
    <w:pPr>
      <w:tabs>
        <w:tab w:val="center" w:pos="4153" w:leader="none"/>
        <w:tab w:val="right" w:pos="8306" w:leader="none"/>
      </w:tabs>
    </w:pPr>
  </w:style>
  <w:style w:type="paragraph" w:styleId="UserStyle_70">
    <w:name w:val="Основной текст 21"/>
    <w:basedOn w:val="Normal"/>
    <w:next w:val="UserStyle_70"/>
    <w:link w:val="Normal"/>
    <w:pPr>
      <w:jc w:val="both"/>
    </w:pPr>
  </w:style>
  <w:style w:type="paragraph" w:styleId="UserStyle_71">
    <w:name w:val="Основной текст 31"/>
    <w:basedOn w:val="Normal"/>
    <w:next w:val="UserStyle_71"/>
    <w:link w:val="Normal"/>
    <w:pPr>
      <w:jc w:val="center"/>
    </w:pPr>
    <w:rPr>
      <w:b/>
      <w:bCs/>
    </w:rPr>
  </w:style>
  <w:style w:type="paragraph" w:styleId="Acetate">
    <w:name w:val="Текст выноски"/>
    <w:basedOn w:val="Normal"/>
    <w:next w:val="Acetate"/>
    <w:link w:val="Normal"/>
    <w:rPr>
      <w:rFonts w:ascii="Tahoma" w:hAnsi="Tahoma" w:cs="Tahoma"/>
      <w:sz w:val="16"/>
      <w:szCs w:val="16"/>
    </w:rPr>
  </w:style>
  <w:style w:type="paragraph" w:styleId="UserStyle_72">
    <w:name w:val="Block Text"/>
    <w:basedOn w:val="Normal"/>
    <w:next w:val="UserStyle_72"/>
    <w:link w:val="Normal"/>
    <w:pPr>
      <w:tabs>
        <w:tab w:val="left" w:pos="2552" w:leader="none"/>
      </w:tabs>
      <w:ind w:left="1701" w:right="-369" w:hanging="2694"/>
      <w:jc w:val="both"/>
    </w:pPr>
    <w:rPr>
      <w:szCs w:val="20"/>
    </w:rPr>
  </w:style>
  <w:style w:type="paragraph" w:styleId="Footer">
    <w:name w:val="Нижний колонтитул"/>
    <w:basedOn w:val="Normal"/>
    <w:next w:val="Footer"/>
    <w:link w:val="Normal"/>
    <w:pPr>
      <w:tabs>
        <w:tab w:val="center" w:pos="4677" w:leader="none"/>
        <w:tab w:val="right" w:pos="9355" w:leader="none"/>
      </w:tabs>
    </w:pPr>
  </w:style>
  <w:style w:type="paragraph" w:styleId="Subtitle">
    <w:name w:val="Подзаголовок"/>
    <w:basedOn w:val="Normal"/>
    <w:next w:val="Normal"/>
    <w:link w:val="Normal"/>
    <w:qFormat/>
    <w:pPr>
      <w:spacing w:before="0" w:after="60"/>
      <w:jc w:val="center"/>
    </w:pPr>
    <w:rPr>
      <w:rFonts w:ascii="Cambria" w:hAnsi="Cambria" w:eastAsia="Times New Roman" w:cs="Times New Roman"/>
      <w:sz w:val="24"/>
      <w:szCs w:val="24"/>
    </w:rPr>
  </w:style>
  <w:style w:type="paragraph" w:styleId="UserStyle_73">
    <w:name w:val="ConsPlusNormal"/>
    <w:next w:val="UserStyle_73"/>
    <w:link w:val="Normal"/>
    <w:rPr>
      <w:rFonts w:ascii="Arial" w:hAnsi="Arial" w:cs="Arial"/>
      <w:lang w:val="ru-RU" w:eastAsia="zh-CN" w:bidi="ar-SA"/>
    </w:rPr>
  </w:style>
  <w:style w:type="paragraph" w:styleId="UserStyle_74">
    <w:name w:val="ConsPlusNonformat"/>
    <w:next w:val="UserStyle_74"/>
    <w:link w:val="Normal"/>
    <w:rPr>
      <w:rFonts w:ascii="Courier New" w:hAnsi="Courier New" w:eastAsia="Calibri" w:cs="Courier New"/>
      <w:lang w:val="ru-RU" w:eastAsia="zh-CN" w:bidi="ar-SA"/>
    </w:rPr>
  </w:style>
  <w:style w:type="paragraph" w:styleId="UserStyle_75">
    <w:name w:val="consplusnormal"/>
    <w:basedOn w:val="Normal"/>
    <w:next w:val="UserStyle_75"/>
    <w:link w:val="Normal"/>
    <w:pPr>
      <w:spacing w:before="280" w:after="280"/>
    </w:pPr>
    <w:rPr>
      <w:sz w:val="24"/>
      <w:szCs w:val="24"/>
    </w:rPr>
  </w:style>
  <w:style w:type="paragraph" w:styleId="FootnoteText">
    <w:name w:val="Текст сноски"/>
    <w:basedOn w:val="Normal"/>
    <w:next w:val="FootnoteText"/>
    <w:link w:val="Normal"/>
    <w:pPr>
      <w:spacing w:before="0" w:after="200" w:line="276" w:lineRule="auto"/>
    </w:pPr>
    <w:rPr>
      <w:rFonts w:ascii="Calibri" w:hAnsi="Calibri" w:eastAsia="Calibri" w:cs="Calibri"/>
      <w:sz w:val="20"/>
      <w:szCs w:val="20"/>
    </w:rPr>
  </w:style>
  <w:style w:type="paragraph" w:styleId="179">
    <w:name w:val="Абзац списка"/>
    <w:basedOn w:val="Normal"/>
    <w:next w:val="179"/>
    <w:link w:val="Normal"/>
    <w:qFormat/>
    <w:pPr>
      <w:spacing w:before="0" w:after="0"/>
      <w:ind w:left="720" w:right="0" w:firstLine="0"/>
      <w:contextualSpacing/>
    </w:pPr>
    <w:rPr>
      <w:sz w:val="24"/>
      <w:szCs w:val="24"/>
    </w:rPr>
  </w:style>
  <w:style w:type="paragraph" w:styleId="UserStyle_76">
    <w:name w:val="Текст примечания1"/>
    <w:basedOn w:val="Normal"/>
    <w:next w:val="UserStyle_76"/>
    <w:link w:val="Normal"/>
    <w:rPr>
      <w:sz w:val="20"/>
      <w:szCs w:val="20"/>
    </w:rPr>
  </w:style>
  <w:style w:type="paragraph" w:styleId="HtmlNormal">
    <w:name w:val="Обычный (веб)"/>
    <w:basedOn w:val="Normal"/>
    <w:next w:val="HtmlNormal"/>
    <w:link w:val="Normal"/>
    <w:pPr>
      <w:spacing w:before="280" w:after="280"/>
    </w:pPr>
    <w:rPr>
      <w:sz w:val="24"/>
      <w:szCs w:val="24"/>
    </w:rPr>
  </w:style>
  <w:style w:type="paragraph" w:styleId="UserStyle_77">
    <w:name w:val="Table Contents"/>
    <w:basedOn w:val="Normal"/>
    <w:next w:val="UserStyle_77"/>
    <w:link w:val="Normal"/>
    <w:pPr>
      <w:suppressLineNumbers/>
    </w:pPr>
  </w:style>
  <w:style w:type="paragraph" w:styleId="UserStyle_78">
    <w:name w:val="Table Heading"/>
    <w:basedOn w:val="UserStyle_77"/>
    <w:next w:val="UserStyle_78"/>
    <w:link w:val="Normal"/>
    <w:pPr>
      <w:suppressLineNumbers/>
      <w:jc w:val="center"/>
    </w:pPr>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Р7-Офис/2024.3.1.523</Application>
  <Characters>11348</Characters>
  <CharactersWithSpaces>13312</CharactersWithSpaces>
  <Company>PNO</Company>
  <DocSecurity>0</DocSecurity>
  <HyperlinksChanged>false</HyperlinksChanged>
  <Lines>94</Lines>
  <Pages>5</Pages>
  <Paragraphs>26</Paragraphs>
  <ScaleCrop>false</ScaleCrop>
  <SharedDoc>false</SharedDoc>
  <Template>Normal</Template>
  <Words>1990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sna</dc:creator>
  <cp:lastModifiedBy>Карпова Ирина Юрьевна</cp:lastModifiedBy>
  <cp:revision>2</cp:revision>
  <dcterms:created xsi:type="dcterms:W3CDTF">2023-03-31T07:27:00Z</dcterms:created>
  <dcterms:modified xsi:type="dcterms:W3CDTF">2023-03-31T07:27:00Z</dcterms:modified>
  <cp:version>1048576</cp:version>
</cp:coreProperties>
</file>