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widowControl w:val="off"/>
        <w:jc w:val="both"/>
      </w:pPr>
      <w: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character">
                  <wp:posOffset>4004945</wp:posOffset>
                </wp:positionH>
                <wp:positionV relativeFrom="paragraph">
                  <wp:posOffset>-172719</wp:posOffset>
                </wp:positionV>
                <wp:extent cx="3110230" cy="251460"/>
                <wp:effectExtent l="0" t="0" r="0" b="0"/>
                <wp:wrapNone/>
                <wp:docPr id="1" name="_x0000_s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
                        <a:stretch/>
                      </pic:blipFill>
                      <pic:spPr>
                        <a:xfrm>
                          <a:off x="0" y="0"/>
                          <a:ext cx="3110230" cy="25146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char;margin-left:315.35pt;mso-position-horizontal:absolute;mso-position-vertical-relative:text;margin-top:-13.60pt;mso-position-vertical:absolute;width:244.90pt;height:19.80pt;mso-wrap-distance-left:0.00pt;mso-wrap-distance-top:0.00pt;mso-wrap-distance-right:0.00pt;mso-wrap-distance-bottom:0.00pt;" stroked="f">
                <v:path textboxrect="0,0,0,0"/>
                <v:imagedata r:id="rId8" o:title=""/>
              </v:shape>
            </w:pict>
          </mc:Fallback>
        </mc:AlternateContent>
      </w:r>
      <w:r>
        <w:t xml:space="preserve">                                                     </w:t>
      </w:r>
    </w:p>
    <w:p>
      <w:pPr>
        <w:pStyle w:val="Normal"/>
        <w:widowControl w:val="off"/>
        <w:tabs>
          <w:tab w:val="left" w:pos="709" w:leader="none"/>
        </w:tabs>
        <w:jc w:val="center"/>
      </w:pPr>
      <w:r>
        <w:t xml:space="preserve">Уважаемые коллеги!</w:t>
      </w:r>
    </w:p>
    <w:p>
      <w:pPr>
        <w:pStyle w:val="UserStyle_45"/>
        <w:jc w:val="both"/>
        <w:rPr>
          <w:szCs w:val="28"/>
        </w:rPr>
      </w:pPr>
      <w:r>
        <w:rPr>
          <w:szCs w:val="28"/>
        </w:rPr>
      </w:r>
    </w:p>
    <w:p>
      <w:pPr>
        <w:pStyle w:val="Normal"/>
        <w:ind w:firstLine="709"/>
        <w:jc w:val="both"/>
      </w:pPr>
      <w:r>
        <w:rPr>
          <w:color w:val="000000"/>
        </w:rPr>
        <w:t xml:space="preserve">Во исполнение решения протокола по четвертому вопросу повестки заседания координационного совета по совершенствованию нормативного правового регулирования в Новосибирской области и выработке мер по предупреждению и устранению причин выявленных нарушений от 14.06.2022 контрольное управление Новосибирской области направляет для учета в работе следующие информацию и предложения по включению в приложения к заключаемым соглашениям укрупненной сметы расходов.</w:t>
      </w:r>
    </w:p>
    <w:p>
      <w:pPr>
        <w:pStyle w:val="Normal"/>
        <w:ind w:firstLine="709"/>
        <w:jc w:val="both"/>
      </w:pPr>
      <w:r>
        <w:rPr>
          <w:iCs/>
        </w:rPr>
        <w:t xml:space="preserve">В соответствии со статьями 78 и 139 Бюджетного кодекса Российской Федерации </w:t>
      </w:r>
      <w:r>
        <w:rPr>
          <w:color w:val="000000"/>
        </w:rPr>
        <w:t xml:space="preserve">из областного бюджета Новосибирской области в том числе на конкурсной основе предоставляются субсидии юридическим лицам (за исключением государственных и муниципальных учреждений), индивидуальным предпринимателям, физическим лицам, муниципальным образованиям Новосибирской области.</w:t>
      </w:r>
    </w:p>
    <w:p>
      <w:pPr>
        <w:pStyle w:val="Normal"/>
        <w:ind w:firstLine="709"/>
        <w:jc w:val="both"/>
      </w:pPr>
      <w:r>
        <w:rPr>
          <w:iCs/>
        </w:rPr>
        <w:t xml:space="preserve">Порядки предоставления субсидий из бюджета Новосибирской области устанавливаются нормативными правовыми актами Правительства Новосибирской области, в частности, в форме приложений к постановлениям Правительства Новосибирской области, утверждающим государственные программы (далее – Порядки).</w:t>
      </w:r>
    </w:p>
    <w:p>
      <w:pPr>
        <w:pStyle w:val="Normal"/>
        <w:ind w:firstLine="709"/>
        <w:jc w:val="both"/>
      </w:pPr>
      <w:r>
        <w:t xml:space="preserve">Порядками предусматривается, что в целях участия в конкурсе (конкурсном отборе) потенциальный получатель субсидии направляет главному распорядителю средств бюджета (далее – ГРБС) заявку с приложением документов, в том числе при необходимости </w:t>
      </w:r>
      <w:r>
        <w:rPr>
          <w:i/>
        </w:rPr>
        <w:t xml:space="preserve">смету расходов</w:t>
      </w:r>
      <w:r>
        <w:t xml:space="preserve"> на реализацию проекта, подтверждающую объем и стоимость необходимых работ, услуг и (или) товаров.</w:t>
      </w:r>
    </w:p>
    <w:p>
      <w:pPr>
        <w:pStyle w:val="Normal"/>
        <w:ind w:firstLine="709"/>
        <w:jc w:val="both"/>
      </w:pPr>
      <w:r>
        <w:rPr>
          <w:iCs/>
        </w:rPr>
        <w:t xml:space="preserve">Субсидии предоставляются получателям на основании Порядков и </w:t>
      </w:r>
      <w:r>
        <w:t xml:space="preserve">заключенных между </w:t>
      </w:r>
      <w:r>
        <w:rPr>
          <w:rFonts w:eastAsia="Calibri"/>
        </w:rPr>
        <w:t xml:space="preserve">ГРБС</w:t>
      </w:r>
      <w:r>
        <w:t xml:space="preserve"> и получателями соглашений о предоставлении субсидий (далее – Соглашения).</w:t>
      </w:r>
    </w:p>
    <w:p>
      <w:pPr>
        <w:pStyle w:val="Normal"/>
        <w:ind w:firstLine="709"/>
        <w:jc w:val="both"/>
      </w:pPr>
      <w:r>
        <w:t xml:space="preserve">Типовая форма Соглашения о предоставлении из областного бюджета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утверждена приказом министерства финансов и налоговой политики Новосибирской области от 09.07.2019 № 43-НПА, и содержит условия, что грант предоставляется на финансовое обеспечение (возмещение) затрат в  соответствии  с </w:t>
      </w:r>
      <w:r>
        <w:rPr>
          <w:i/>
        </w:rPr>
        <w:t xml:space="preserve">перечнем затрат, формируемым как приложение к Соглашению</w:t>
      </w:r>
      <w:r>
        <w:t xml:space="preserve">, и являющимся его неотъемлемой частью.</w:t>
      </w:r>
    </w:p>
    <w:p>
      <w:pPr>
        <w:pStyle w:val="Normal"/>
        <w:ind w:firstLine="709"/>
        <w:jc w:val="both"/>
      </w:pPr>
      <w:r>
        <w:t xml:space="preserve">Типовая форма Соглашения о предоставлении из областного бюджета Новосибирской области бюджету муниципального образования Новосибирской области субсидии, предоставляемой на конкурсной основе, утверждена приказом министерства финансов и налоговой политики Новосибирской области от 23.12.2019 № 79-НПА, и содержит условия о необходимости осуществлять расходование субсидии в соответствии с предметом и на условиях Соглашения, то есть на финансовое обеспечение проекта (мероприятия), прошедшего конкурсный отбор, но </w:t>
      </w:r>
      <w:r>
        <w:rPr>
          <w:i/>
        </w:rPr>
        <w:t xml:space="preserve">не предусматривает</w:t>
      </w:r>
      <w:r>
        <w:t xml:space="preserve"> обязательного формирования </w:t>
      </w:r>
      <w:r>
        <w:rPr>
          <w:i/>
        </w:rPr>
        <w:t xml:space="preserve">перечня затрат</w:t>
      </w:r>
      <w:r>
        <w:t xml:space="preserve"> для реализации проекта (мероприятия) в качестве приложения к Соглашению.</w:t>
      </w:r>
    </w:p>
    <w:p>
      <w:pPr>
        <w:pStyle w:val="Normal"/>
        <w:ind w:firstLine="709"/>
        <w:jc w:val="both"/>
      </w:pPr>
      <w:r>
        <w:t xml:space="preserve">По результатам контрольных мероприятий, проведенных контрольным управлением Новосибирской области, отмечены случаи, что решения о предоставлении субсидии муниципальным образованиям Новосибирской области принимаются ГРБС в соответствии с Порядками на основании документов, представленных получателями для участия в конкурсе (конкурсном отборе), в том числе на основании </w:t>
      </w:r>
      <w:r>
        <w:rPr>
          <w:i/>
        </w:rPr>
        <w:t xml:space="preserve">смет расходов и (или)</w:t>
      </w:r>
      <w:r>
        <w:t xml:space="preserve"> </w:t>
      </w:r>
      <w:r>
        <w:rPr>
          <w:i/>
        </w:rPr>
        <w:t xml:space="preserve">локальных сметных расчетов</w:t>
      </w:r>
      <w:r>
        <w:t xml:space="preserve">, точно фиксирующих объемы, виды и стоимость необходимых работ, услуг и (или) товаров.</w:t>
      </w:r>
      <w:r>
        <w:rPr>
          <w:iCs/>
        </w:rPr>
        <w:t xml:space="preserve"> </w:t>
      </w:r>
      <w:r>
        <w:t xml:space="preserve">В свою очередь, заключаемые в дальнейшем Соглашения содержат обязанность получателя использовать средства в соответствии с предметом Соглашения (наименованием проекта (мероприятия) и не содержат требований:</w:t>
      </w:r>
    </w:p>
    <w:p>
      <w:pPr>
        <w:pStyle w:val="Normal"/>
        <w:ind w:firstLine="709"/>
        <w:jc w:val="both"/>
      </w:pPr>
      <w:r>
        <w:t xml:space="preserve">- о необходимости расходования средств субсидии в соответствии с ранее представленными на конкурс (конкурсный отбор) сметами расходов и (или) локальными</w:t>
      </w:r>
      <w:r>
        <w:rPr>
          <w:i/>
        </w:rPr>
        <w:t xml:space="preserve"> </w:t>
      </w:r>
      <w:r>
        <w:t xml:space="preserve">сметными расчетами. Указанные документы не</w:t>
      </w:r>
      <w:r>
        <w:rPr>
          <w:i/>
        </w:rPr>
        <w:t xml:space="preserve"> </w:t>
      </w:r>
      <w:r>
        <w:t xml:space="preserve">формируются как приложение к Соглашению; </w:t>
      </w:r>
    </w:p>
    <w:p>
      <w:pPr>
        <w:pStyle w:val="Normal"/>
        <w:ind w:firstLine="709"/>
        <w:jc w:val="both"/>
      </w:pPr>
      <w:r>
        <w:t xml:space="preserve">- по возврату в бюджет экономии, в случае ее образования по результатам закупок, осуществленных получателем субсидии в целях реализации Соглашения. </w:t>
      </w:r>
    </w:p>
    <w:p>
      <w:pPr>
        <w:pStyle w:val="Normal"/>
        <w:ind w:firstLine="709"/>
        <w:jc w:val="both"/>
      </w:pPr>
      <w:r>
        <w:t xml:space="preserve">Вышеизложенное, как следствие, приводит к рискам возникновения следующих ситуаций: </w:t>
      </w:r>
    </w:p>
    <w:p>
      <w:pPr>
        <w:pStyle w:val="UserStyle_46"/>
        <w:ind w:firstLine="709"/>
        <w:jc w:val="both"/>
      </w:pPr>
      <w:r>
        <w:rPr>
          <w:rFonts w:ascii="Times New Roman" w:hAnsi="Times New Roman" w:cs="Times New Roman"/>
          <w:sz w:val="28"/>
          <w:szCs w:val="28"/>
        </w:rPr>
        <w:t xml:space="preserve">1) получатель субсидии исполнил цель Соглашения с </w:t>
      </w:r>
      <w:r>
        <w:rPr>
          <w:rFonts w:ascii="Times New Roman" w:hAnsi="Times New Roman" w:cs="Times New Roman"/>
          <w:i/>
          <w:sz w:val="28"/>
          <w:szCs w:val="28"/>
        </w:rPr>
        <w:t xml:space="preserve">экономией</w:t>
      </w:r>
      <w:r>
        <w:rPr>
          <w:rFonts w:ascii="Times New Roman" w:hAnsi="Times New Roman" w:cs="Times New Roman"/>
          <w:sz w:val="28"/>
          <w:szCs w:val="28"/>
        </w:rPr>
        <w:t xml:space="preserve">, при этом не возвратил остаток средств ГРБС, а использовал его на дополнительные работы (то есть работы, не предусмотренные локальным сметным расчетом, прошедшим конкурсный отбор) в рамках того же предмета Соглашения, что привело по сути к выполнению дополнительных работ, являющихся неправомерными (излишними) расходами бюджета. Однако, учитывая, что локальный сметный расчет, подтверждающий расходы в рамках участия в конкурсном отборе, </w:t>
      </w:r>
      <w:r>
        <w:rPr>
          <w:rFonts w:ascii="Times New Roman" w:hAnsi="Times New Roman" w:cs="Times New Roman"/>
          <w:i/>
          <w:sz w:val="28"/>
          <w:szCs w:val="28"/>
        </w:rPr>
        <w:t xml:space="preserve">не являлся обязательным приложением</w:t>
      </w:r>
      <w:r>
        <w:rPr>
          <w:rFonts w:ascii="Times New Roman" w:hAnsi="Times New Roman" w:cs="Times New Roman"/>
          <w:sz w:val="28"/>
          <w:szCs w:val="28"/>
        </w:rPr>
        <w:t xml:space="preserve"> к Соглашению, а средства экономии потрачены на предмет Соглашения, применить меры по возврату таких средств в бюджет не представляется возможным. Аналогично в случае приобретения за счет экономии товаров, услуг;</w:t>
      </w:r>
    </w:p>
    <w:p>
      <w:pPr>
        <w:pStyle w:val="UserStyle_46"/>
        <w:ind w:firstLine="709"/>
        <w:jc w:val="both"/>
      </w:pPr>
      <w:r>
        <w:rPr>
          <w:rFonts w:ascii="Times New Roman" w:hAnsi="Times New Roman" w:cs="Times New Roman"/>
          <w:sz w:val="28"/>
          <w:szCs w:val="28"/>
        </w:rPr>
        <w:t xml:space="preserve">2) получатель субсидии исполнил цель Соглашения, заключив контракт с подрядчиком на выполнение работ </w:t>
      </w:r>
      <w:r>
        <w:rPr>
          <w:rFonts w:ascii="Times New Roman" w:hAnsi="Times New Roman" w:cs="Times New Roman"/>
          <w:i/>
          <w:sz w:val="28"/>
          <w:szCs w:val="28"/>
        </w:rPr>
        <w:t xml:space="preserve">в соответствии с предметом</w:t>
      </w:r>
      <w:r>
        <w:rPr>
          <w:rFonts w:ascii="Times New Roman" w:hAnsi="Times New Roman" w:cs="Times New Roman"/>
          <w:sz w:val="28"/>
          <w:szCs w:val="28"/>
        </w:rPr>
        <w:t xml:space="preserve"> Соглашения, однако, приложением к указанному контракту являлся новый </w:t>
      </w:r>
      <w:r>
        <w:rPr>
          <w:rFonts w:ascii="Times New Roman" w:hAnsi="Times New Roman" w:cs="Times New Roman"/>
          <w:i/>
          <w:sz w:val="28"/>
          <w:szCs w:val="28"/>
        </w:rPr>
        <w:t xml:space="preserve">локальный сметный расчет, не проходивший конкурсный отбор, </w:t>
      </w:r>
      <w:r>
        <w:rPr>
          <w:rFonts w:ascii="Times New Roman" w:hAnsi="Times New Roman" w:cs="Times New Roman"/>
          <w:sz w:val="28"/>
          <w:szCs w:val="28"/>
        </w:rPr>
        <w:t xml:space="preserve">предусматривающий иные виды и объемы работ, отличающиеся от видов и объемов работ локального сметного расчета,</w:t>
      </w:r>
      <w:r>
        <w:rPr>
          <w:rFonts w:ascii="Times New Roman" w:hAnsi="Times New Roman" w:cs="Times New Roman"/>
          <w:i/>
          <w:sz w:val="28"/>
          <w:szCs w:val="28"/>
        </w:rPr>
        <w:t xml:space="preserve"> </w:t>
      </w:r>
      <w:r>
        <w:rPr>
          <w:rFonts w:ascii="Times New Roman" w:hAnsi="Times New Roman" w:cs="Times New Roman"/>
          <w:sz w:val="28"/>
          <w:szCs w:val="28"/>
        </w:rPr>
        <w:t xml:space="preserve">представленного ГРБС к рассмотрению на этапе конкурсного отбора. По результатам выполненных работ </w:t>
      </w:r>
      <w:r>
        <w:rPr>
          <w:rFonts w:ascii="Times New Roman" w:hAnsi="Times New Roman" w:cs="Times New Roman"/>
          <w:i/>
          <w:sz w:val="28"/>
          <w:szCs w:val="28"/>
        </w:rPr>
        <w:t xml:space="preserve">при наличии существенных отклонений</w:t>
      </w:r>
      <w:r>
        <w:rPr>
          <w:rFonts w:ascii="Times New Roman" w:hAnsi="Times New Roman" w:cs="Times New Roman"/>
          <w:sz w:val="28"/>
          <w:szCs w:val="28"/>
        </w:rPr>
        <w:t xml:space="preserve"> от локального сметного расчета, прошедшего конкурсный отбор, учитывая, что локальный сметный расчет, подтверждающий расходы в рамках участия в конкурсном отборе, </w:t>
      </w:r>
      <w:r>
        <w:rPr>
          <w:rFonts w:ascii="Times New Roman" w:hAnsi="Times New Roman" w:cs="Times New Roman"/>
          <w:i/>
          <w:sz w:val="28"/>
          <w:szCs w:val="28"/>
        </w:rPr>
        <w:t xml:space="preserve">не являлся обязательным приложением</w:t>
      </w:r>
      <w:r>
        <w:rPr>
          <w:rFonts w:ascii="Times New Roman" w:hAnsi="Times New Roman" w:cs="Times New Roman"/>
          <w:sz w:val="28"/>
          <w:szCs w:val="28"/>
        </w:rPr>
        <w:t xml:space="preserve"> к Соглашению, однозначно утверждать, что средства субсидии израсходованы обоснованно и эффективно не представляется возможным. Аналогично в случае подмены получателем субсидии при осуществлении закупки части услуг или отдельных позиций спецификации товаров или их характеристик.</w:t>
      </w:r>
    </w:p>
    <w:p>
      <w:pPr>
        <w:pStyle w:val="Normal"/>
        <w:ind w:firstLine="709"/>
        <w:jc w:val="both"/>
      </w:pPr>
      <w:r>
        <w:t xml:space="preserve">В целях усиления контроля за эффективным расходованием средств областного бюджета и профилактики указанных рисков контрольное управление Новосибирской области предлагает ГРБС, </w:t>
      </w:r>
      <w:r>
        <w:rPr>
          <w:iCs/>
        </w:rPr>
        <w:t xml:space="preserve">предоставляющим субсидии</w:t>
      </w:r>
      <w:r>
        <w:rPr>
          <w:color w:val="000000"/>
        </w:rPr>
        <w:t xml:space="preserve">:</w:t>
      </w:r>
    </w:p>
    <w:p>
      <w:pPr>
        <w:pStyle w:val="Normal"/>
        <w:ind w:firstLine="709"/>
        <w:jc w:val="both"/>
      </w:pPr>
      <w:r>
        <w:rPr>
          <w:color w:val="000000"/>
        </w:rPr>
        <w:t xml:space="preserve">1) обеспечивать контроль за соответствием заключаемых Соглашений типовым формам: </w:t>
      </w:r>
    </w:p>
    <w:p>
      <w:pPr>
        <w:pStyle w:val="Normal"/>
        <w:ind w:firstLine="709"/>
        <w:jc w:val="both"/>
      </w:pPr>
      <w:r>
        <w:rPr>
          <w:color w:val="000000"/>
        </w:rPr>
        <w:t xml:space="preserve">- о предоставлении из областного бюджета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утвержденной приказом министерства финансов и налоговой политики Новосибирской области от 09.07.2019 № 43-НПА, в частности, уделяя </w:t>
      </w:r>
      <w:r>
        <w:rPr>
          <w:i/>
          <w:color w:val="000000"/>
        </w:rPr>
        <w:t xml:space="preserve">особое внимание</w:t>
      </w:r>
      <w:r>
        <w:rPr>
          <w:color w:val="000000"/>
        </w:rPr>
        <w:t xml:space="preserve"> </w:t>
      </w:r>
      <w:r>
        <w:rPr>
          <w:i/>
          <w:color w:val="000000"/>
        </w:rPr>
        <w:t xml:space="preserve">к содержанию</w:t>
      </w:r>
      <w:r>
        <w:rPr>
          <w:color w:val="000000"/>
        </w:rPr>
        <w:t xml:space="preserve"> </w:t>
      </w:r>
      <w:r>
        <w:rPr>
          <w:i/>
        </w:rPr>
        <w:t xml:space="preserve">перечня затрат, формируемого как приложение к Соглашению</w:t>
      </w:r>
      <w:r>
        <w:t xml:space="preserve">;</w:t>
      </w:r>
    </w:p>
    <w:p>
      <w:pPr>
        <w:pStyle w:val="Normal"/>
        <w:ind w:firstLine="709"/>
        <w:jc w:val="both"/>
      </w:pPr>
      <w:r>
        <w:rPr>
          <w:b/>
        </w:rPr>
        <w:t xml:space="preserve">- </w:t>
      </w:r>
      <w:r>
        <w:rPr>
          <w:b/>
          <w:color w:val="000000"/>
        </w:rPr>
        <w:t xml:space="preserve">о предоставлении из областного бюджета Новосибирской области бюджету муниципального образования Новосибирской области субсидии, предоставляемой на конкурсной основе, утвержденной приказом министерства финансов и налоговой политики Новосибирской области от </w:t>
      </w:r>
      <w:r>
        <w:rPr>
          <w:b/>
        </w:rPr>
        <w:t xml:space="preserve">23.12.2019            № 79-НПА, предусматривая в качестве </w:t>
      </w:r>
      <w:r>
        <w:rPr>
          <w:b/>
          <w:i/>
        </w:rPr>
        <w:t xml:space="preserve">обязательного приложения</w:t>
      </w:r>
      <w:r>
        <w:rPr>
          <w:b/>
        </w:rPr>
        <w:t xml:space="preserve"> к Соглашению </w:t>
      </w:r>
      <w:r>
        <w:rPr>
          <w:b/>
          <w:i/>
        </w:rPr>
        <w:t xml:space="preserve">смету расходов</w:t>
      </w:r>
      <w:r>
        <w:rPr>
          <w:b/>
        </w:rPr>
        <w:t xml:space="preserve"> (</w:t>
      </w:r>
      <w:r>
        <w:rPr>
          <w:b/>
          <w:i/>
        </w:rPr>
        <w:t xml:space="preserve">перечень затрат)</w:t>
      </w:r>
      <w:r>
        <w:rPr>
          <w:b/>
        </w:rPr>
        <w:t xml:space="preserve"> для реализации проекта (мероприятия), составленную на основании ранее представленных к конкурсному отбору смет расходов и (или) локальных сметных расчетов. При необходимости реализовать проект (мероприятие) путем проведения работ по строительству, реконструкции, текущему и капитальному ремонту, работам по сохранению объектов культурного наследия, учитывая, что в периоды реализации проекта (мероприятия) могут меняться стоимость используемых при выполнении работ материалов, также выявляться объективно необходимые отступления от локальных сметных расчетов, прошедших конкурсный отбор, контрольное управление Новосибирской области предлагает ГРБС формировать в качестве </w:t>
      </w:r>
      <w:r>
        <w:rPr>
          <w:b/>
          <w:i/>
        </w:rPr>
        <w:t xml:space="preserve">обязательного приложения</w:t>
      </w:r>
      <w:r>
        <w:rPr>
          <w:b/>
        </w:rPr>
        <w:t xml:space="preserve"> к Соглашению </w:t>
      </w:r>
      <w:r>
        <w:rPr>
          <w:b/>
          <w:i/>
        </w:rPr>
        <w:t xml:space="preserve">укрупненные сметы расходов</w:t>
      </w:r>
      <w:r>
        <w:rPr>
          <w:b/>
        </w:rPr>
        <w:t xml:space="preserve">, исходя из выделения в отдельные строки сметы основных конструктивных решений (элементов), комплексов однородных видов работ, с указанием единицы измерения, количества (объема таких работ) и цены за единицу.</w:t>
      </w:r>
    </w:p>
    <w:p>
      <w:pPr>
        <w:pStyle w:val="Normal"/>
        <w:ind w:firstLine="709"/>
        <w:jc w:val="both"/>
      </w:pPr>
      <w:r>
        <w:t xml:space="preserve">2) включать в Порядки и Соглашения обязанности получателя субсидии по </w:t>
      </w:r>
      <w:r>
        <w:rPr>
          <w:i/>
        </w:rPr>
        <w:t xml:space="preserve">возврату сэкономленных средств</w:t>
      </w:r>
      <w:r>
        <w:t xml:space="preserve"> и (или) устанавливать случаи возможности использования экономии на цели Соглашения.</w:t>
      </w:r>
    </w:p>
    <w:sectPr>
      <w:headerReference w:type="default" r:id="rId6"/>
      <w:headerReference w:type="first" r:id="rId7"/>
      <w:type w:val="nextPage"/>
      <w:pgSz w:w="11906" w:h="16838"/>
      <w:pgMar w:top="1190" w:right="567" w:bottom="1134" w:left="1418" w:header="1134"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ahoma">
    <w:panose1 w:val="020B0604030504040204"/>
  </w:font>
  <w:font w:name="Courier New">
    <w:panose1 w:val="02070309020205020404"/>
  </w:font>
  <w:font w:name="Mangal">
    <w:panose1 w:val="02040503050406030204"/>
  </w:font>
  <w:font w:name="Liberation Sans">
    <w:panose1 w:val="020B0604020202020204"/>
  </w:font>
  <w:font w:name="Microsoft YaHei">
    <w:panose1 w:val="020B0503020203020204"/>
  </w:font>
  <w:font w:name="Times New Roman">
    <w:panose1 w:val="020206030504050203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 PAGE </w:instrText>
    </w:r>
    <w:r>
      <w:fldChar w:fldCharType="separate"/>
    </w:r>
    <w:r>
      <w:t xml:space="preserve">2</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8"/>
      <w:szCs w:val="28"/>
      <w:lang w:val="ru-RU" w:eastAsia="zh-CN"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style>
  <w:style w:type="character" w:styleId="UserStyle_1">
    <w:name w:val="WW8Num1z1"/>
    <w:next w:val="UserStyle_1"/>
    <w:link w:val="Normal"/>
  </w:style>
  <w:style w:type="character" w:styleId="UserStyle_2">
    <w:name w:val="WW8Num1z2"/>
    <w:next w:val="UserStyle_2"/>
    <w:link w:val="Normal"/>
  </w:style>
  <w:style w:type="character" w:styleId="UserStyle_3">
    <w:name w:val="WW8Num1z3"/>
    <w:next w:val="UserStyle_3"/>
    <w:link w:val="Normal"/>
  </w:style>
  <w:style w:type="character" w:styleId="UserStyle_4">
    <w:name w:val="WW8Num1z4"/>
    <w:next w:val="UserStyle_4"/>
    <w:link w:val="Normal"/>
  </w:style>
  <w:style w:type="character" w:styleId="UserStyle_5">
    <w:name w:val="WW8Num1z5"/>
    <w:next w:val="UserStyle_5"/>
    <w:link w:val="Normal"/>
  </w:style>
  <w:style w:type="character" w:styleId="UserStyle_6">
    <w:name w:val="WW8Num1z6"/>
    <w:next w:val="UserStyle_6"/>
    <w:link w:val="Normal"/>
  </w:style>
  <w:style w:type="character" w:styleId="UserStyle_7">
    <w:name w:val="WW8Num1z7"/>
    <w:next w:val="UserStyle_7"/>
    <w:link w:val="Normal"/>
  </w:style>
  <w:style w:type="character" w:styleId="UserStyle_8">
    <w:name w:val="WW8Num1z8"/>
    <w:next w:val="UserStyle_8"/>
    <w:link w:val="Normal"/>
  </w:style>
  <w:style w:type="character" w:styleId="UserStyle_9">
    <w:name w:val="WW8Num2z0"/>
    <w:next w:val="UserStyle_9"/>
    <w:link w:val="Normal"/>
  </w:style>
  <w:style w:type="character" w:styleId="UserStyle_10">
    <w:name w:val="WW8Num2z1"/>
    <w:next w:val="UserStyle_10"/>
    <w:link w:val="Normal"/>
  </w:style>
  <w:style w:type="character" w:styleId="UserStyle_11">
    <w:name w:val="WW8Num2z2"/>
    <w:next w:val="UserStyle_11"/>
    <w:link w:val="Normal"/>
  </w:style>
  <w:style w:type="character" w:styleId="UserStyle_12">
    <w:name w:val="WW8Num2z3"/>
    <w:next w:val="UserStyle_12"/>
    <w:link w:val="Normal"/>
  </w:style>
  <w:style w:type="character" w:styleId="UserStyle_13">
    <w:name w:val="WW8Num2z4"/>
    <w:next w:val="UserStyle_13"/>
    <w:link w:val="Normal"/>
  </w:style>
  <w:style w:type="character" w:styleId="UserStyle_14">
    <w:name w:val="WW8Num2z5"/>
    <w:next w:val="UserStyle_14"/>
    <w:link w:val="Normal"/>
  </w:style>
  <w:style w:type="character" w:styleId="UserStyle_15">
    <w:name w:val="WW8Num2z6"/>
    <w:next w:val="UserStyle_15"/>
    <w:link w:val="Normal"/>
  </w:style>
  <w:style w:type="character" w:styleId="UserStyle_16">
    <w:name w:val="WW8Num2z7"/>
    <w:next w:val="UserStyle_16"/>
    <w:link w:val="Normal"/>
  </w:style>
  <w:style w:type="character" w:styleId="UserStyle_17">
    <w:name w:val="WW8Num2z8"/>
    <w:next w:val="UserStyle_17"/>
    <w:link w:val="Normal"/>
  </w:style>
  <w:style w:type="character" w:styleId="UserStyle_18">
    <w:name w:val="WW8Num3z0"/>
    <w:next w:val="UserStyle_18"/>
    <w:link w:val="Normal"/>
  </w:style>
  <w:style w:type="character" w:styleId="UserStyle_19">
    <w:name w:val="WW8Num3z1"/>
    <w:next w:val="UserStyle_19"/>
    <w:link w:val="Normal"/>
  </w:style>
  <w:style w:type="character" w:styleId="UserStyle_20">
    <w:name w:val="WW8Num3z2"/>
    <w:next w:val="UserStyle_20"/>
    <w:link w:val="Normal"/>
  </w:style>
  <w:style w:type="character" w:styleId="UserStyle_21">
    <w:name w:val="WW8Num3z3"/>
    <w:next w:val="UserStyle_21"/>
    <w:link w:val="Normal"/>
  </w:style>
  <w:style w:type="character" w:styleId="UserStyle_22">
    <w:name w:val="WW8Num3z4"/>
    <w:next w:val="UserStyle_22"/>
    <w:link w:val="Normal"/>
  </w:style>
  <w:style w:type="character" w:styleId="UserStyle_23">
    <w:name w:val="WW8Num3z5"/>
    <w:next w:val="UserStyle_23"/>
    <w:link w:val="Normal"/>
  </w:style>
  <w:style w:type="character" w:styleId="UserStyle_24">
    <w:name w:val="WW8Num3z6"/>
    <w:next w:val="UserStyle_24"/>
    <w:link w:val="Normal"/>
  </w:style>
  <w:style w:type="character" w:styleId="UserStyle_25">
    <w:name w:val="WW8Num3z7"/>
    <w:next w:val="UserStyle_25"/>
    <w:link w:val="Normal"/>
  </w:style>
  <w:style w:type="character" w:styleId="UserStyle_26">
    <w:name w:val="WW8Num3z8"/>
    <w:next w:val="UserStyle_26"/>
    <w:link w:val="Normal"/>
  </w:style>
  <w:style w:type="character" w:styleId="UserStyle_27">
    <w:name w:val="Основной шрифт абзаца1"/>
    <w:next w:val="UserStyle_27"/>
    <w:link w:val="Normal"/>
  </w:style>
  <w:style w:type="character" w:styleId="UserStyle_28">
    <w:name w:val="Верхний колонтитул Знак"/>
    <w:next w:val="UserStyle_28"/>
    <w:link w:val="Normal"/>
    <w:rPr>
      <w:sz w:val="28"/>
      <w:szCs w:val="28"/>
      <w:lang w:val="ru-RU" w:bidi="ar-SA"/>
    </w:rPr>
  </w:style>
  <w:style w:type="character" w:styleId="Hyperlink">
    <w:name w:val="Гиперссылка"/>
    <w:next w:val="Hyperlink"/>
    <w:link w:val="Normal"/>
    <w:rPr>
      <w:rFonts w:cs="Times New Roman"/>
      <w:color w:val="0000ff"/>
      <w:u w:val="single"/>
    </w:rPr>
  </w:style>
  <w:style w:type="character" w:styleId="UserStyle_29">
    <w:name w:val="Основной текст 2 Знак"/>
    <w:next w:val="UserStyle_29"/>
    <w:link w:val="Normal"/>
    <w:rPr>
      <w:sz w:val="28"/>
      <w:szCs w:val="28"/>
      <w:lang w:val="ru-RU" w:bidi="ar-SA"/>
    </w:rPr>
  </w:style>
  <w:style w:type="character" w:styleId="UserStyle_30">
    <w:name w:val="Основной текст 3 Знак"/>
    <w:next w:val="UserStyle_30"/>
    <w:link w:val="Normal"/>
    <w:rPr>
      <w:b/>
      <w:bCs/>
      <w:sz w:val="28"/>
      <w:szCs w:val="28"/>
      <w:lang w:val="ru-RU" w:bidi="ar-SA"/>
    </w:rPr>
  </w:style>
  <w:style w:type="character" w:styleId="UserStyle_31">
    <w:name w:val=" Знак Знак4"/>
    <w:next w:val="UserStyle_31"/>
    <w:link w:val="Normal"/>
    <w:rPr>
      <w:rFonts w:ascii="Times New Roman" w:hAnsi="Times New Roman" w:eastAsia="Times New Roman" w:cs="Times New Roman"/>
      <w:sz w:val="28"/>
      <w:szCs w:val="28"/>
    </w:rPr>
  </w:style>
  <w:style w:type="character" w:styleId="UserStyle_32">
    <w:name w:val="Font Style14"/>
    <w:next w:val="UserStyle_32"/>
    <w:link w:val="Normal"/>
    <w:rPr>
      <w:rFonts w:ascii="Times New Roman" w:hAnsi="Times New Roman" w:cs="Times New Roman"/>
      <w:b/>
      <w:bCs/>
      <w:sz w:val="26"/>
      <w:szCs w:val="26"/>
    </w:rPr>
  </w:style>
  <w:style w:type="character" w:styleId="UserStyle_33">
    <w:name w:val="Font Style15"/>
    <w:next w:val="UserStyle_33"/>
    <w:link w:val="Normal"/>
    <w:rPr>
      <w:rFonts w:ascii="Times New Roman" w:hAnsi="Times New Roman" w:cs="Times New Roman"/>
      <w:sz w:val="26"/>
      <w:szCs w:val="26"/>
    </w:rPr>
  </w:style>
  <w:style w:type="character" w:styleId="UserStyle_34">
    <w:name w:val="Текст сноски Знак"/>
    <w:basedOn w:val="UserStyle_27"/>
    <w:next w:val="UserStyle_34"/>
    <w:link w:val="Normal"/>
  </w:style>
  <w:style w:type="character" w:styleId="UserStyle_35">
    <w:name w:val="Footnote Characters"/>
    <w:next w:val="UserStyle_35"/>
    <w:link w:val="Normal"/>
    <w:rPr>
      <w:vertAlign w:val="superscript"/>
    </w:rPr>
  </w:style>
  <w:style w:type="paragraph" w:styleId="UserStyle_36">
    <w:name w:val="Heading"/>
    <w:basedOn w:val="Normal"/>
    <w:next w:val="BodyText"/>
    <w:link w:val="Normal"/>
    <w:pPr>
      <w:keepNext/>
      <w:spacing w:before="240" w:after="120"/>
    </w:pPr>
    <w:rPr>
      <w:rFonts w:ascii="Liberation Sans" w:hAnsi="Liberation Sans" w:eastAsia="Microsoft YaHei" w:cs="Mangal"/>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cs="Mangal"/>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37">
    <w:name w:val="Index"/>
    <w:basedOn w:val="Normal"/>
    <w:next w:val="UserStyle_37"/>
    <w:link w:val="Normal"/>
    <w:pPr>
      <w:suppressLineNumbers/>
    </w:pPr>
    <w:rPr>
      <w:rFonts w:cs="Mangal"/>
    </w:rPr>
  </w:style>
  <w:style w:type="paragraph" w:styleId="UserStyle_38">
    <w:name w:val="Header and Footer"/>
    <w:basedOn w:val="Normal"/>
    <w:next w:val="UserStyle_38"/>
    <w:link w:val="Normal"/>
    <w:pPr>
      <w:suppressLineNumbers/>
      <w:tabs>
        <w:tab w:val="center" w:pos="4819" w:leader="none"/>
        <w:tab w:val="right" w:pos="9638" w:leader="none"/>
      </w:tabs>
    </w:pPr>
  </w:style>
  <w:style w:type="paragraph" w:styleId="Header">
    <w:name w:val="Верхний колонтитул"/>
    <w:basedOn w:val="Normal"/>
    <w:next w:val="Header"/>
    <w:link w:val="Normal"/>
    <w:pPr>
      <w:tabs>
        <w:tab w:val="center" w:pos="4153" w:leader="none"/>
        <w:tab w:val="right" w:pos="8306" w:leader="none"/>
      </w:tabs>
    </w:pPr>
  </w:style>
  <w:style w:type="paragraph" w:styleId="UserStyle_39">
    <w:name w:val="Основной текст 21"/>
    <w:basedOn w:val="Normal"/>
    <w:next w:val="UserStyle_39"/>
    <w:link w:val="Normal"/>
    <w:pPr>
      <w:jc w:val="both"/>
    </w:pPr>
  </w:style>
  <w:style w:type="paragraph" w:styleId="UserStyle_40">
    <w:name w:val="Основной текст 31"/>
    <w:basedOn w:val="Normal"/>
    <w:next w:val="UserStyle_40"/>
    <w:link w:val="Normal"/>
    <w:pPr>
      <w:jc w:val="center"/>
    </w:pPr>
    <w:rPr>
      <w:b/>
      <w:bCs/>
    </w:rPr>
  </w:style>
  <w:style w:type="paragraph" w:styleId="Acetate">
    <w:name w:val="Текст выноски"/>
    <w:basedOn w:val="Normal"/>
    <w:next w:val="Acetate"/>
    <w:link w:val="Normal"/>
    <w:rPr>
      <w:rFonts w:ascii="Tahoma" w:hAnsi="Tahoma" w:cs="Tahoma"/>
      <w:sz w:val="16"/>
      <w:szCs w:val="16"/>
    </w:rPr>
  </w:style>
  <w:style w:type="paragraph" w:styleId="UserStyle_41">
    <w:name w:val="Block Text"/>
    <w:basedOn w:val="Normal"/>
    <w:next w:val="UserStyle_41"/>
    <w:link w:val="Normal"/>
    <w:pPr>
      <w:tabs>
        <w:tab w:val="left" w:pos="2552" w:leader="none"/>
      </w:tabs>
      <w:ind w:left="1701" w:right="-369" w:hanging="2694"/>
      <w:jc w:val="both"/>
    </w:pPr>
    <w:rPr>
      <w:szCs w:val="20"/>
    </w:rPr>
  </w:style>
  <w:style w:type="paragraph" w:styleId="Footer">
    <w:name w:val="Нижний колонтитул"/>
    <w:basedOn w:val="Normal"/>
    <w:next w:val="Footer"/>
    <w:link w:val="Normal"/>
    <w:pPr>
      <w:tabs>
        <w:tab w:val="center" w:pos="4677" w:leader="none"/>
        <w:tab w:val="right" w:pos="9355" w:leader="none"/>
      </w:tabs>
    </w:pPr>
  </w:style>
  <w:style w:type="paragraph" w:styleId="UserStyle_42">
    <w:name w:val="Default"/>
    <w:next w:val="UserStyle_42"/>
    <w:link w:val="Normal"/>
    <w:rPr>
      <w:rFonts w:ascii="Calibri" w:hAnsi="Calibri" w:cs="Calibri"/>
      <w:color w:val="000000"/>
      <w:sz w:val="24"/>
      <w:szCs w:val="24"/>
      <w:lang w:val="ru-RU" w:eastAsia="zh-CN" w:bidi="ar-SA"/>
    </w:rPr>
  </w:style>
  <w:style w:type="paragraph" w:styleId="UserStyle_43">
    <w:name w:val="Style5"/>
    <w:basedOn w:val="Normal"/>
    <w:next w:val="UserStyle_43"/>
    <w:link w:val="Normal"/>
    <w:pPr>
      <w:widowControl w:val="off"/>
      <w:spacing w:line="372" w:lineRule="exact"/>
      <w:ind w:left="0" w:right="0" w:firstLine="701"/>
      <w:jc w:val="both"/>
    </w:pPr>
    <w:rPr>
      <w:rFonts w:eastAsia="Times New Roman"/>
      <w:sz w:val="24"/>
      <w:szCs w:val="24"/>
    </w:rPr>
  </w:style>
  <w:style w:type="paragraph" w:styleId="UserStyle_44">
    <w:name w:val="ConsPlusNormal"/>
    <w:next w:val="UserStyle_44"/>
    <w:link w:val="Normal"/>
    <w:pPr>
      <w:widowControl w:val="off"/>
      <w:ind w:firstLine="720"/>
    </w:pPr>
    <w:rPr>
      <w:rFonts w:ascii="Arial" w:hAnsi="Arial" w:cs="Arial"/>
      <w:lang w:val="ru-RU" w:eastAsia="zh-CN" w:bidi="ar-SA"/>
    </w:rPr>
  </w:style>
  <w:style w:type="paragraph" w:styleId="UserStyle_45">
    <w:name w:val="Официальный"/>
    <w:basedOn w:val="Normal"/>
    <w:next w:val="UserStyle_45"/>
    <w:link w:val="Normal"/>
    <w:pPr>
      <w:ind w:left="0" w:right="0" w:firstLine="709"/>
    </w:pPr>
    <w:rPr>
      <w:rFonts w:eastAsia="Calibri"/>
      <w:szCs w:val="22"/>
    </w:rPr>
  </w:style>
  <w:style w:type="paragraph" w:styleId="UserStyle_46">
    <w:name w:val="ConsPlusNonformat"/>
    <w:next w:val="UserStyle_46"/>
    <w:link w:val="Normal"/>
    <w:pPr>
      <w:widowControl w:val="off"/>
    </w:pPr>
    <w:rPr>
      <w:rFonts w:ascii="Courier New" w:hAnsi="Courier New" w:cs="Courier New"/>
      <w:lang w:val="ru-RU" w:eastAsia="zh-CN" w:bidi="ar-SA"/>
    </w:rPr>
  </w:style>
  <w:style w:type="paragraph" w:styleId="UserStyle_47">
    <w:name w:val=" Знак1"/>
    <w:basedOn w:val="Normal"/>
    <w:next w:val="UserStyle_47"/>
    <w:link w:val="Normal"/>
    <w:pPr>
      <w:spacing w:before="280" w:after="280"/>
    </w:pPr>
    <w:rPr>
      <w:rFonts w:ascii="Tahoma" w:hAnsi="Tahoma" w:cs="Tahoma"/>
      <w:sz w:val="20"/>
      <w:szCs w:val="20"/>
      <w:lang w:val="en-US"/>
    </w:rPr>
  </w:style>
  <w:style w:type="paragraph" w:styleId="User">
    <w:name w:val="Без интервала"/>
    <w:next w:val="User"/>
    <w:link w:val="Normal"/>
    <w:qFormat/>
    <w:rPr>
      <w:rFonts w:ascii="Calibri" w:hAnsi="Calibri" w:cs="Calibri"/>
      <w:sz w:val="22"/>
      <w:szCs w:val="22"/>
      <w:lang w:val="ru-RU" w:eastAsia="zh-CN" w:bidi="ar-SA"/>
    </w:rPr>
  </w:style>
  <w:style w:type="paragraph" w:styleId="UserStyle_48">
    <w:name w:val="Содержимое таблицы"/>
    <w:basedOn w:val="Normal"/>
    <w:next w:val="UserStyle_48"/>
    <w:link w:val="Normal"/>
    <w:pPr>
      <w:suppressLineNumbers/>
    </w:pPr>
    <w:rPr>
      <w:sz w:val="20"/>
      <w:szCs w:val="20"/>
    </w:rPr>
  </w:style>
  <w:style w:type="paragraph" w:styleId="UserStyle_49">
    <w:name w:val="Стиль3"/>
    <w:basedOn w:val="Normal"/>
    <w:next w:val="UserStyle_49"/>
    <w:link w:val="Normal"/>
    <w:pPr>
      <w:widowControl w:val="off"/>
      <w:tabs>
        <w:tab w:val="left" w:pos="432" w:leader="none"/>
      </w:tabs>
      <w:ind w:left="432" w:right="0" w:hanging="432"/>
      <w:jc w:val="both"/>
    </w:pPr>
    <w:rPr>
      <w:sz w:val="24"/>
      <w:szCs w:val="20"/>
      <w:lang w:eastAsia="zh-CN"/>
    </w:rPr>
  </w:style>
  <w:style w:type="paragraph" w:styleId="UserStyle_50">
    <w:name w:val="Основной текст2"/>
    <w:basedOn w:val="Normal"/>
    <w:next w:val="UserStyle_50"/>
    <w:link w:val="Normal"/>
    <w:pPr>
      <w:widowControl w:val="off"/>
      <w:shd w:val="clear" w:color="auto" w:fill="ffffff"/>
      <w:spacing w:before="600" w:after="360" w:line="240" w:lineRule="atLeast"/>
    </w:pPr>
    <w:rPr>
      <w:color w:val="000000"/>
      <w:sz w:val="27"/>
      <w:szCs w:val="27"/>
    </w:rPr>
  </w:style>
  <w:style w:type="paragraph" w:styleId="FootnoteText">
    <w:name w:val="Текст сноски"/>
    <w:basedOn w:val="Normal"/>
    <w:next w:val="FootnoteText"/>
    <w:link w:val="Normal"/>
    <w:rPr>
      <w:sz w:val="20"/>
      <w:szCs w:val="20"/>
    </w:rPr>
  </w:style>
  <w:style w:type="paragraph" w:styleId="UserStyle_51">
    <w:name w:val="Table Contents"/>
    <w:basedOn w:val="Normal"/>
    <w:next w:val="UserStyle_51"/>
    <w:link w:val="Normal"/>
    <w:pPr>
      <w:suppressLineNumbers/>
    </w:pPr>
  </w:style>
  <w:style w:type="paragraph" w:styleId="UserStyle_52">
    <w:name w:val="Table Heading"/>
    <w:basedOn w:val="UserStyle_51"/>
    <w:next w:val="UserStyle_52"/>
    <w:link w:val="Normal"/>
    <w:pPr>
      <w:suppressLineNumbers/>
      <w:jc w:val="center"/>
    </w:pPr>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image" Target="media/image1.pn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6928</Characters>
  <CharactersWithSpaces>8127</CharactersWithSpaces>
  <Company>PNO</Company>
  <DocSecurity>0</DocSecurity>
  <HyperlinksChanged>false</HyperlinksChanged>
  <Lines>57</Lines>
  <Pages>3</Pages>
  <Paragraphs>16</Paragraphs>
  <ScaleCrop>false</ScaleCrop>
  <SharedDoc>false</SharedDoc>
  <Template>Normal</Template>
  <Words>1215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sna</dc:creator>
  <cp:lastModifiedBy>Карпова Ирина Юрьевна</cp:lastModifiedBy>
  <cp:revision>2</cp:revision>
  <dcterms:created xsi:type="dcterms:W3CDTF">2023-03-31T07:28:00Z</dcterms:created>
  <dcterms:modified xsi:type="dcterms:W3CDTF">2023-03-31T07:28:00Z</dcterms:modified>
  <cp:version>1048576</cp:version>
</cp:coreProperties>
</file>