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widowControl w:val="off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haracter">
                  <wp:posOffset>4185920</wp:posOffset>
                </wp:positionH>
                <wp:positionV relativeFrom="paragraph">
                  <wp:posOffset>-220344</wp:posOffset>
                </wp:positionV>
                <wp:extent cx="3110230" cy="25146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311023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char;margin-left:329.60pt;mso-position-horizontal:absolute;mso-position-vertical-relative:text;margin-top:-17.35pt;mso-position-vertical:absolute;width:244.90pt;height:19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t xml:space="preserve">                                                </w:t>
      </w:r>
      <w:r>
        <w:t xml:space="preserve">      </w:t>
      </w:r>
    </w:p>
    <w:p>
      <w:pPr>
        <w:pStyle w:val="Normal"/>
        <w:widowControl w:val="off"/>
        <w:tabs>
          <w:tab w:val="left" w:pos="709" w:leader="none"/>
        </w:tabs>
        <w:jc w:val="center"/>
      </w:pPr>
      <w:r>
        <w:t xml:space="preserve">Уважаемые коллеги!</w:t>
      </w:r>
    </w:p>
    <w:p>
      <w:pPr>
        <w:pStyle w:val="UserStyle_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</w:pPr>
      <w:r>
        <w:rPr>
          <w:color w:val="000000"/>
        </w:rPr>
        <w:t xml:space="preserve">Во исполнение решения протокола по пятому вопросу повестки заседания координационного совета по совершенствованию нормативного правового регулирования в Новосибирской области и выработке мер по предупреждению и устранению причин выявленных нарушений от 14.06.2022 направляем Вам для учета в работе и доведения до сведения подведомственных заказчиков следующие информацию и предложения по определению и обоснованию </w:t>
      </w:r>
      <w:r>
        <w:t xml:space="preserve">начальной (максимальной) цены контракта, цены контракта, заключаемого с единственным поставщиком (подрядчиком, исполнителем) (далее – </w:t>
      </w:r>
      <w:r>
        <w:rPr>
          <w:color w:val="000000"/>
        </w:rPr>
        <w:t xml:space="preserve">НМЦК) на оказание комплекса услуг с учетом определения стоимости единицы каждой услуги отдельно. </w:t>
      </w:r>
    </w:p>
    <w:p>
      <w:pPr>
        <w:pStyle w:val="Normal"/>
        <w:ind w:firstLine="709"/>
        <w:jc w:val="both"/>
      </w:pPr>
      <w:r>
        <w:t xml:space="preserve">В целях обеспечения государственных нужд заказчиками Новосибирской области осуществляются закупки и заключаются контракты, предметом которых предусмотрено, что исполнитель обязуется оказать </w:t>
      </w:r>
      <w:r>
        <w:rPr>
          <w:i/>
        </w:rPr>
        <w:t xml:space="preserve">комплекс услуг</w:t>
      </w:r>
      <w:r>
        <w:t xml:space="preserve"> за определенную цену, при этом НМЦК закупки и контракт не предусматривает определения стоимости </w:t>
      </w:r>
      <w:r>
        <w:rPr>
          <w:i/>
        </w:rPr>
        <w:t xml:space="preserve">единицы каждой услуги в таком комплексе услуг</w:t>
      </w:r>
      <w:r>
        <w:t xml:space="preserve">. НМЦК контракта и, в дальнейшем, цена контракта определяется как фиксированная цена за 1 единицу услуги, где единица услуги - комплекс таких услуг. </w:t>
      </w:r>
    </w:p>
    <w:p>
      <w:pPr>
        <w:pStyle w:val="Normal"/>
        <w:ind w:firstLine="709"/>
        <w:jc w:val="both"/>
      </w:pPr>
      <w:r>
        <w:t xml:space="preserve">Указанная практика закупок распространена, в частности, при планировании и осуществлении закупок:</w:t>
      </w:r>
    </w:p>
    <w:p>
      <w:pPr>
        <w:pStyle w:val="Normal"/>
        <w:ind w:firstLine="709"/>
        <w:jc w:val="both"/>
      </w:pPr>
      <w:r>
        <w:t xml:space="preserve">- на </w:t>
      </w:r>
      <w:r>
        <w:rPr>
          <w:spacing w:val="-6"/>
        </w:rPr>
        <w:t xml:space="preserve">оказание консультационно-лекционных услуг, в комплекс которых могут входить услуги с индивидуальными характеристиками по проведению семинаров, лекционных, консультационных, практических занятий, индивидуальных консультаций,</w:t>
      </w:r>
      <w:r>
        <w:t xml:space="preserve"> конкурсов,</w:t>
      </w:r>
      <w:r>
        <w:rPr>
          <w:b/>
        </w:rPr>
        <w:t xml:space="preserve"> </w:t>
      </w:r>
      <w:r>
        <w:t xml:space="preserve">подготовка и распространение буклетов, иных печатных материалов и прочее;</w:t>
      </w:r>
    </w:p>
    <w:p>
      <w:pPr>
        <w:pStyle w:val="Normal"/>
        <w:ind w:firstLine="709"/>
        <w:jc w:val="both"/>
      </w:pPr>
      <w:r>
        <w:t xml:space="preserve">- на оказание услуг по организации и проведению тематических мероприятий и (или) праздников, </w:t>
      </w:r>
      <w:r>
        <w:rPr>
          <w:spacing w:val="-6"/>
        </w:rPr>
        <w:t xml:space="preserve">в комплекс которых могут входить услуги с индивидуальными характеристиками по </w:t>
      </w:r>
      <w:r>
        <w:rPr>
          <w:lang w:eastAsia="en-US"/>
        </w:rPr>
        <w:t xml:space="preserve">оформлению места проведения мероприятия, </w:t>
      </w:r>
      <w:r>
        <w:t xml:space="preserve">разработке сценарного плана,</w:t>
      </w:r>
      <w:r>
        <w:rPr>
          <w:lang w:eastAsia="en-US"/>
        </w:rPr>
        <w:t xml:space="preserve"> проведению спортивной или творческой программы, услуги ведущего для проведения мероприятия на сцене, обслуживание звукового оборудования</w:t>
      </w:r>
      <w:r>
        <w:t xml:space="preserve">, о</w:t>
      </w:r>
      <w:r>
        <w:rPr>
          <w:lang w:eastAsia="en-US"/>
        </w:rPr>
        <w:t xml:space="preserve">рганизация награждения</w:t>
      </w:r>
      <w:r>
        <w:t xml:space="preserve">, </w:t>
      </w:r>
      <w:r>
        <w:rPr>
          <w:lang w:eastAsia="en-US"/>
        </w:rPr>
        <w:t xml:space="preserve">предоставление фотоотчета по мероприятию</w:t>
      </w:r>
      <w:r>
        <w:t xml:space="preserve">, организация питания и прочее.</w:t>
      </w:r>
    </w:p>
    <w:p>
      <w:pPr>
        <w:pStyle w:val="Normal"/>
        <w:ind w:firstLine="709"/>
        <w:jc w:val="both"/>
      </w:pPr>
      <w:r>
        <w:t xml:space="preserve">Перечень услуг комплекса с индивидуальными характеристиками каждой услуги отдельно зачастую расшифровывается в описании объекта закупки или технических заданиях, являющихся неотъемлемыми частями контрактов.</w:t>
      </w:r>
      <w:r>
        <w:rPr>
          <w:highlight w:val="yellow"/>
        </w:rPr>
        <w:t xml:space="preserve"> </w:t>
      </w:r>
      <w:r>
        <w:t xml:space="preserve">Приемка всего спектра услуг осуществляется на основании акта оказанных услуг в целом за комплекс. </w:t>
      </w:r>
    </w:p>
    <w:p>
      <w:pPr>
        <w:pStyle w:val="Normal"/>
        <w:ind w:firstLine="709"/>
        <w:jc w:val="both"/>
      </w:pPr>
      <w:r>
        <w:t xml:space="preserve">По результатам контрольных мероприятий, проводимых контрольным управлением Новосибирской области, устанавливаются случаи ненадлежащего исполнения исполнителями обязательств: неисполнения </w:t>
      </w:r>
      <w:r>
        <w:rPr>
          <w:i/>
        </w:rPr>
        <w:t xml:space="preserve">части услуг</w:t>
      </w:r>
      <w:r>
        <w:t xml:space="preserve"> комплекса и (или) </w:t>
      </w:r>
      <w:r>
        <w:rPr>
          <w:i/>
        </w:rPr>
        <w:t xml:space="preserve">несоответствие индивидуальных характеристик</w:t>
      </w:r>
      <w:r>
        <w:t xml:space="preserve"> </w:t>
      </w:r>
      <w:r>
        <w:rPr>
          <w:i/>
        </w:rPr>
        <w:t xml:space="preserve">отдельных услуг</w:t>
      </w:r>
      <w:r>
        <w:t xml:space="preserve"> комплекса. Однако, в виду отсутствия в контракте установленной стоимости за единицу конкретной услуги комплекса, установить стоимостной объем неисполненных и (или) не надлежаще исполненных услуг не представляется возможным. </w:t>
      </w:r>
    </w:p>
    <w:p>
      <w:pPr>
        <w:pStyle w:val="Normal"/>
        <w:ind w:firstLine="709"/>
        <w:jc w:val="both"/>
      </w:pPr>
      <w:r>
        <w:t xml:space="preserve">Сложившаяся ситуация также </w:t>
      </w:r>
      <w:r>
        <w:rPr>
          <w:i/>
        </w:rPr>
        <w:t xml:space="preserve">не позволяет заказчикам исполнять требования</w:t>
      </w:r>
      <w:r>
        <w:t xml:space="preserve">, предусмотренные частью 6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 В случае просрочки исполнения исполнителем обязательств, предусмотренных контрактом, заказчик не может направить исполнителю требование об уплате пени, так как согласно части 7 Закона № 44-ФЗ пеня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 контракта), </w:t>
      </w:r>
      <w:r>
        <w:rPr>
          <w:i/>
        </w:rPr>
        <w:t xml:space="preserve">уменьшенной на сумму, </w:t>
      </w:r>
      <w:r>
        <w:t xml:space="preserve">пропорциональную объему обязательств, предусмотренных контрактом (соответствующим отдельным этапом исполнения контракта) и</w:t>
      </w:r>
      <w:r>
        <w:rPr>
          <w:i/>
        </w:rPr>
        <w:t xml:space="preserve"> фактически исполненных исполнителем. </w:t>
      </w:r>
    </w:p>
    <w:p>
      <w:pPr>
        <w:pStyle w:val="Normal"/>
        <w:ind w:firstLine="709"/>
        <w:jc w:val="both"/>
      </w:pPr>
      <w:r>
        <w:t xml:space="preserve">В целях профилактики выявленных нарушений и урегулирования вопросов претензионной работы контрольное управление Новосибирской области предлагает заказчикам, руководствуясь статьей 22 Закона № 44-ФЗ и методическими рекомендациями, утвержденными приказом Минэкономразвития России от 02.10.2013 № 567: </w:t>
      </w:r>
    </w:p>
    <w:p>
      <w:pPr>
        <w:pStyle w:val="Normal"/>
        <w:ind w:firstLine="709"/>
        <w:jc w:val="both"/>
      </w:pPr>
      <w:r>
        <w:t xml:space="preserve">- </w:t>
      </w:r>
      <w:r>
        <w:rPr>
          <w:color w:val="000000"/>
        </w:rPr>
        <w:t xml:space="preserve">определять и обосновывать НМЦК на оказание комплекса услуг с учетом определения стоимости единицы каждой услуги отдельно;</w:t>
      </w:r>
      <w:r>
        <w:t xml:space="preserve"> </w:t>
      </w:r>
    </w:p>
    <w:p>
      <w:pPr>
        <w:pStyle w:val="Normal"/>
        <w:ind w:firstLine="709"/>
        <w:jc w:val="both"/>
        <w:rPr>
          <w:color w:val="000000"/>
        </w:rPr>
      </w:pPr>
      <w:r>
        <w:t xml:space="preserve">- перечень услуг комплекса с индивидуальными характеристиками каждой услуги отдельно расшифровывать в описании объекта закупки, технических заданиях или иных приложениях, являющихся неотъемлемыми частями контрактов, с учетом стоимости </w:t>
      </w:r>
      <w:r>
        <w:rPr>
          <w:color w:val="000000"/>
        </w:rPr>
        <w:t xml:space="preserve">единицы каждой услуги отдельно.</w:t>
      </w:r>
    </w:p>
    <w:sectPr>
      <w:headerReference w:type="default" r:id="rId6"/>
      <w:headerReference w:type="first" r:id="rId7"/>
      <w:type w:val="nextPage"/>
      <w:pgSz w:w="11906" w:h="16838"/>
      <w:pgMar w:top="1190" w:right="567" w:bottom="1134" w:left="1418" w:header="1134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Mangal">
    <w:panose1 w:val="020405030504060302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8"/>
      <w:lang w:val="ru-RU" w:eastAsia="zh-CN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Основной шрифт абзаца1"/>
    <w:next w:val="UserStyle_9"/>
    <w:link w:val="Normal"/>
  </w:style>
  <w:style w:type="character" w:styleId="UserStyle_10">
    <w:name w:val="Верхний колонтитул Знак"/>
    <w:next w:val="UserStyle_10"/>
    <w:link w:val="Normal"/>
    <w:rPr>
      <w:sz w:val="28"/>
      <w:szCs w:val="28"/>
      <w:lang w:val="ru-RU" w:bidi="ar-SA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character" w:styleId="UserStyle_11">
    <w:name w:val="Основной текст 2 Знак"/>
    <w:next w:val="UserStyle_11"/>
    <w:link w:val="Normal"/>
    <w:rPr>
      <w:sz w:val="28"/>
      <w:szCs w:val="28"/>
      <w:lang w:val="ru-RU" w:bidi="ar-SA"/>
    </w:rPr>
  </w:style>
  <w:style w:type="character" w:styleId="UserStyle_12">
    <w:name w:val="Основной текст 3 Знак"/>
    <w:next w:val="UserStyle_12"/>
    <w:link w:val="Normal"/>
    <w:rPr>
      <w:b/>
      <w:bCs/>
      <w:sz w:val="28"/>
      <w:szCs w:val="28"/>
      <w:lang w:val="ru-RU" w:bidi="ar-SA"/>
    </w:rPr>
  </w:style>
  <w:style w:type="character" w:styleId="UserStyle_13">
    <w:name w:val=" Знак Знак4"/>
    <w:next w:val="UserStyle_13"/>
    <w:link w:val="Normal"/>
    <w:rPr>
      <w:rFonts w:ascii="Times New Roman" w:hAnsi="Times New Roman" w:eastAsia="Times New Roman" w:cs="Times New Roman"/>
      <w:sz w:val="28"/>
      <w:szCs w:val="28"/>
    </w:rPr>
  </w:style>
  <w:style w:type="character" w:styleId="UserStyle_14">
    <w:name w:val="Font Style14"/>
    <w:next w:val="UserStyle_14"/>
    <w:link w:val="Normal"/>
    <w:rPr>
      <w:rFonts w:ascii="Times New Roman" w:hAnsi="Times New Roman" w:cs="Times New Roman"/>
      <w:b/>
      <w:bCs/>
      <w:sz w:val="26"/>
      <w:szCs w:val="26"/>
    </w:rPr>
  </w:style>
  <w:style w:type="character" w:styleId="UserStyle_15">
    <w:name w:val="Font Style15"/>
    <w:next w:val="UserStyle_15"/>
    <w:link w:val="Normal"/>
    <w:rPr>
      <w:rFonts w:ascii="Times New Roman" w:hAnsi="Times New Roman" w:cs="Times New Roman"/>
      <w:sz w:val="26"/>
      <w:szCs w:val="26"/>
    </w:rPr>
  </w:style>
  <w:style w:type="paragraph" w:styleId="UserStyle_16">
    <w:name w:val="Heading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17">
    <w:name w:val="Index"/>
    <w:basedOn w:val="Normal"/>
    <w:next w:val="UserStyle_17"/>
    <w:link w:val="Normal"/>
    <w:pPr>
      <w:suppressLineNumbers/>
    </w:pPr>
    <w:rPr>
      <w:rFonts w:cs="Mangal"/>
    </w:rPr>
  </w:style>
  <w:style w:type="paragraph" w:styleId="UserStyle_18">
    <w:name w:val="Header and Footer"/>
    <w:basedOn w:val="Normal"/>
    <w:next w:val="UserStyle_18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153" w:leader="none"/>
        <w:tab w:val="right" w:pos="8306" w:leader="none"/>
      </w:tabs>
    </w:pPr>
  </w:style>
  <w:style w:type="paragraph" w:styleId="UserStyle_19">
    <w:name w:val="Основной текст 21"/>
    <w:basedOn w:val="Normal"/>
    <w:next w:val="UserStyle_19"/>
    <w:link w:val="Normal"/>
    <w:pPr>
      <w:jc w:val="both"/>
    </w:pPr>
  </w:style>
  <w:style w:type="paragraph" w:styleId="UserStyle_20">
    <w:name w:val="Основной текст 31"/>
    <w:basedOn w:val="Normal"/>
    <w:next w:val="UserStyle_20"/>
    <w:link w:val="Normal"/>
    <w:pPr>
      <w:jc w:val="center"/>
    </w:pPr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21">
    <w:name w:val="Block Text"/>
    <w:basedOn w:val="Normal"/>
    <w:next w:val="UserStyle_21"/>
    <w:link w:val="Normal"/>
    <w:pPr>
      <w:tabs>
        <w:tab w:val="left" w:pos="2552" w:leader="none"/>
      </w:tabs>
      <w:ind w:left="1701" w:right="-369" w:hanging="2694"/>
      <w:jc w:val="both"/>
    </w:pPr>
    <w:rPr>
      <w:szCs w:val="20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22">
    <w:name w:val="Default"/>
    <w:next w:val="UserStyle_22"/>
    <w:link w:val="Normal"/>
    <w:rPr>
      <w:rFonts w:ascii="Calibri" w:hAnsi="Calibri" w:cs="Calibri"/>
      <w:color w:val="000000"/>
      <w:sz w:val="24"/>
      <w:szCs w:val="24"/>
      <w:lang w:val="ru-RU" w:eastAsia="zh-CN" w:bidi="ar-SA"/>
    </w:rPr>
  </w:style>
  <w:style w:type="paragraph" w:styleId="UserStyle_23">
    <w:name w:val="Style5"/>
    <w:basedOn w:val="Normal"/>
    <w:next w:val="UserStyle_23"/>
    <w:link w:val="Normal"/>
    <w:pPr>
      <w:widowControl w:val="off"/>
      <w:spacing w:line="372" w:lineRule="exact"/>
      <w:ind w:left="0" w:right="0" w:firstLine="701"/>
      <w:jc w:val="both"/>
    </w:pPr>
    <w:rPr>
      <w:rFonts w:eastAsia="Times New Roman"/>
      <w:sz w:val="24"/>
      <w:szCs w:val="24"/>
    </w:rPr>
  </w:style>
  <w:style w:type="paragraph" w:styleId="UserStyle_24">
    <w:name w:val="ConsPlusNormal"/>
    <w:next w:val="UserStyle_24"/>
    <w:link w:val="Normal"/>
    <w:pPr>
      <w:widowControl w:val="off"/>
      <w:ind w:firstLine="720"/>
    </w:pPr>
    <w:rPr>
      <w:rFonts w:ascii="Arial" w:hAnsi="Arial" w:cs="Arial"/>
      <w:lang w:val="ru-RU" w:eastAsia="zh-CN" w:bidi="ar-SA"/>
    </w:rPr>
  </w:style>
  <w:style w:type="paragraph" w:styleId="UserStyle_25">
    <w:name w:val="Официальный"/>
    <w:basedOn w:val="Normal"/>
    <w:next w:val="UserStyle_25"/>
    <w:link w:val="Normal"/>
    <w:pPr>
      <w:ind w:left="0" w:right="0" w:firstLine="709"/>
    </w:pPr>
    <w:rPr>
      <w:rFonts w:eastAsia="Calibri"/>
      <w:szCs w:val="22"/>
    </w:rPr>
  </w:style>
  <w:style w:type="paragraph" w:styleId="UserStyle_26">
    <w:name w:val="ConsPlusNonformat"/>
    <w:next w:val="UserStyle_26"/>
    <w:link w:val="Normal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UserStyle_27">
    <w:name w:val=" Знак1"/>
    <w:basedOn w:val="Normal"/>
    <w:next w:val="UserStyle_27"/>
    <w:link w:val="Normal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User">
    <w:name w:val="Без интервала"/>
    <w:next w:val="User"/>
    <w:link w:val="Normal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UserStyle_28">
    <w:name w:val="Содержимое таблицы"/>
    <w:basedOn w:val="Normal"/>
    <w:next w:val="UserStyle_28"/>
    <w:link w:val="Normal"/>
    <w:pPr>
      <w:suppressLineNumbers/>
    </w:pPr>
    <w:rPr>
      <w:sz w:val="20"/>
      <w:szCs w:val="20"/>
    </w:rPr>
  </w:style>
  <w:style w:type="paragraph" w:styleId="UserStyle_29">
    <w:name w:val="Стиль3"/>
    <w:basedOn w:val="Normal"/>
    <w:next w:val="UserStyle_29"/>
    <w:link w:val="Normal"/>
    <w:pPr>
      <w:widowControl w:val="off"/>
      <w:tabs>
        <w:tab w:val="left" w:pos="432" w:leader="none"/>
      </w:tabs>
      <w:ind w:left="432" w:right="0" w:hanging="432"/>
      <w:jc w:val="both"/>
    </w:pPr>
    <w:rPr>
      <w:sz w:val="24"/>
      <w:szCs w:val="20"/>
      <w:lang w:eastAsia="zh-CN"/>
    </w:rPr>
  </w:style>
  <w:style w:type="paragraph" w:styleId="UserStyle_30">
    <w:name w:val="Table Contents"/>
    <w:basedOn w:val="Normal"/>
    <w:next w:val="UserStyle_30"/>
    <w:link w:val="Normal"/>
    <w:pPr>
      <w:suppressLineNumbers/>
    </w:pPr>
  </w:style>
  <w:style w:type="paragraph" w:styleId="UserStyle_31">
    <w:name w:val="Table Heading"/>
    <w:basedOn w:val="UserStyle_30"/>
    <w:next w:val="UserStyle_31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image" Target="media/image1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3808</Characters>
  <CharactersWithSpaces>4468</CharactersWithSpaces>
  <Company>PNO</Company>
  <DocSecurity>0</DocSecurity>
  <HyperlinksChanged>false</HyperlinksChanged>
  <Lines>31</Lines>
  <Pages>2</Pages>
  <Paragraphs>8</Paragraphs>
  <ScaleCrop>false</ScaleCrop>
  <SharedDoc>false</SharedDoc>
  <Template>Normal</Template>
  <Words>668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Карпова Ирина Юрьевна</cp:lastModifiedBy>
  <cp:revision>2</cp:revision>
  <dcterms:created xsi:type="dcterms:W3CDTF">2023-03-31T07:29:00Z</dcterms:created>
  <dcterms:modified xsi:type="dcterms:W3CDTF">2023-03-31T07:29:00Z</dcterms:modified>
  <cp:version>1048576</cp:version>
</cp:coreProperties>
</file>