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rPr>
          <w:b/>
          <w:bCs w:val="0"/>
          <w:i w:val="0"/>
          <w:sz w:val="28"/>
          <w:szCs w:val="28"/>
        </w:rPr>
      </w:pPr>
      <w:r>
        <w:rPr>
          <w:b/>
          <w:bCs/>
          <w:i w:val="0"/>
          <w:i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от 18.12.2024 № 03-12/1274/39-Вн</w:t>
      </w:r>
      <w:r>
        <w:rPr>
          <w:b/>
          <w:bCs/>
          <w:i w:val="0"/>
          <w:iCs w:val="0"/>
          <w:color w:val="000000"/>
          <w:sz w:val="28"/>
          <w:szCs w:val="28"/>
          <w:highlight w:val="none"/>
        </w:rPr>
      </w:r>
      <w:r>
        <w:rPr>
          <w:b/>
          <w:bCs/>
          <w:i w:val="0"/>
          <w:i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856"/>
        <w:ind w:left="0" w:right="0" w:firstLine="0"/>
        <w:jc w:val="center"/>
        <w:rPr>
          <w:b/>
          <w:bCs/>
          <w:color w:val="000000"/>
          <w:highlight w:val="none"/>
        </w:rPr>
      </w:pPr>
      <w:r>
        <w:rPr>
          <w:b/>
          <w:bCs/>
        </w:rPr>
        <w:t xml:space="preserve">Об изменении существенных условий </w:t>
      </w:r>
      <w:r>
        <w:rPr>
          <w:b/>
          <w:bCs/>
          <w:color w:val="000000"/>
        </w:rPr>
        <w:t xml:space="preserve">существенных условий</w:t>
      </w:r>
      <w:r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 xml:space="preserve">продление </w:t>
      </w:r>
      <w:r>
        <w:rPr>
          <w:b/>
          <w:bCs/>
          <w:color w:val="000000"/>
        </w:rPr>
        <w:t xml:space="preserve">сроков выполнения работ) государственных контрактов </w:t>
      </w:r>
      <w:r>
        <w:rPr>
          <w:b/>
          <w:bCs/>
          <w:color w:val="000000"/>
        </w:rPr>
        <w:t xml:space="preserve">на выполнение подрядных работ по строительству объектов и</w:t>
      </w:r>
      <w:r>
        <w:rPr>
          <w:b/>
          <w:bCs/>
          <w:color w:val="000000"/>
        </w:rPr>
        <w:t xml:space="preserve"> государственны</w:t>
      </w:r>
      <w:r>
        <w:rPr>
          <w:b/>
          <w:bCs/>
          <w:color w:val="000000"/>
        </w:rPr>
        <w:t xml:space="preserve">х </w:t>
      </w:r>
      <w:r>
        <w:rPr>
          <w:b/>
          <w:bCs/>
          <w:color w:val="000000"/>
        </w:rPr>
        <w:t xml:space="preserve">контракт</w:t>
      </w:r>
      <w:r>
        <w:rPr>
          <w:b/>
          <w:bCs/>
          <w:color w:val="000000"/>
        </w:rPr>
        <w:t xml:space="preserve">ов </w:t>
      </w:r>
      <w:r>
        <w:rPr>
          <w:b/>
          <w:bCs/>
          <w:color w:val="000000"/>
        </w:rPr>
        <w:t xml:space="preserve">на выполнение работ по проектированию,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строительству и вводу в эксплуатац</w:t>
      </w:r>
      <w:r>
        <w:rPr>
          <w:b/>
          <w:bCs/>
          <w:color w:val="000000"/>
        </w:rPr>
        <w:t xml:space="preserve">ию объектов </w:t>
      </w:r>
      <w:r>
        <w:rPr>
          <w:b/>
          <w:bCs/>
          <w:color w:val="000000"/>
        </w:rPr>
        <w:t xml:space="preserve">в связи с переносом </w:t>
      </w:r>
      <w:r>
        <w:rPr>
          <w:b/>
          <w:bCs/>
          <w:color w:val="000000"/>
        </w:rPr>
        <w:t xml:space="preserve">финансирования</w:t>
      </w:r>
      <w:r>
        <w:rPr>
          <w:b/>
          <w:bCs/>
        </w:rPr>
      </w:r>
    </w:p>
    <w:p>
      <w:pPr>
        <w:pStyle w:val="856"/>
        <w:ind w:right="201"/>
        <w:jc w:val="center"/>
      </w:pPr>
    </w:p>
    <w:p>
      <w:pPr>
        <w:pStyle w:val="856"/>
        <w:ind w:right="-2" w:firstLine="709"/>
        <w:jc w:val="both"/>
        <w:rPr>
          <w:color w:val="000000"/>
        </w:rPr>
      </w:pPr>
      <w:r>
        <w:rPr>
          <w:color w:val="000000"/>
        </w:rPr>
        <w:t xml:space="preserve">Контрольное управление Новосибирской области (далее – Контрольное управление) </w:t>
      </w:r>
      <w:r>
        <w:rPr>
          <w:color w:val="000000"/>
        </w:rPr>
        <w:t xml:space="preserve">по вопросу изменения </w:t>
      </w:r>
      <w:r>
        <w:rPr>
          <w:color w:val="000000"/>
        </w:rPr>
        <w:t xml:space="preserve">существенных условий</w:t>
      </w:r>
      <w:r>
        <w:rPr>
          <w:color w:val="000000"/>
        </w:rPr>
        <w:t xml:space="preserve"> (</w:t>
      </w:r>
      <w:r>
        <w:rPr>
          <w:color w:val="000000"/>
        </w:rPr>
        <w:t xml:space="preserve">продление </w:t>
      </w:r>
      <w:r>
        <w:rPr>
          <w:color w:val="000000"/>
        </w:rPr>
        <w:t xml:space="preserve">сроков выполнения работ) государственных контрактов </w:t>
      </w:r>
      <w:r>
        <w:rPr>
          <w:color w:val="000000"/>
        </w:rPr>
        <w:t xml:space="preserve">на выполнение подрядных работ по строительству объектов и</w:t>
      </w:r>
      <w:r>
        <w:rPr>
          <w:color w:val="000000"/>
        </w:rPr>
        <w:t xml:space="preserve"> государственны</w:t>
      </w:r>
      <w:r>
        <w:rPr>
          <w:color w:val="000000"/>
        </w:rPr>
        <w:t xml:space="preserve">х </w:t>
      </w:r>
      <w:r>
        <w:rPr>
          <w:color w:val="000000"/>
        </w:rPr>
        <w:t xml:space="preserve">контракт</w:t>
      </w:r>
      <w:r>
        <w:rPr>
          <w:color w:val="000000"/>
        </w:rPr>
        <w:t xml:space="preserve">ов </w:t>
      </w:r>
      <w:r>
        <w:rPr>
          <w:color w:val="000000"/>
        </w:rPr>
        <w:t xml:space="preserve">на выполнение работ по проектированию,</w:t>
      </w:r>
      <w:r>
        <w:rPr>
          <w:color w:val="000000"/>
        </w:rPr>
        <w:t xml:space="preserve"> </w:t>
      </w:r>
      <w:r>
        <w:rPr>
          <w:color w:val="000000"/>
        </w:rPr>
        <w:t xml:space="preserve">строительству и вводу в эксплуатац</w:t>
      </w:r>
      <w:r>
        <w:rPr>
          <w:color w:val="000000"/>
        </w:rPr>
        <w:t xml:space="preserve">ию объектов (в соответствии с частью </w:t>
      </w:r>
      <w:r>
        <w:rPr>
          <w:color w:val="000000"/>
        </w:rPr>
        <w:t xml:space="preserve">56 статьи</w:t>
      </w:r>
      <w:r>
        <w:rPr>
          <w:color w:val="000000"/>
        </w:rPr>
        <w:t xml:space="preserve"> 112</w:t>
      </w:r>
      <w:r>
        <w:rPr>
          <w:color w:val="000000"/>
        </w:rPr>
        <w:t xml:space="preserve"> </w:t>
      </w:r>
      <w:r>
        <w:rPr>
          <w:color w:val="000000"/>
        </w:rPr>
        <w:t xml:space="preserve">Федерального закона от 05.04.2013 № 44-ФЗ «О контрактной системе в сфере</w:t>
      </w:r>
      <w:r>
        <w:rPr>
          <w:color w:val="000000"/>
        </w:rPr>
        <w:t xml:space="preserve"> </w:t>
      </w:r>
      <w:r>
        <w:rPr>
          <w:color w:val="000000"/>
        </w:rPr>
        <w:t xml:space="preserve">закупок товаров, работ, услуг для обеспечения государственных и</w:t>
      </w:r>
      <w:r>
        <w:rPr>
          <w:color w:val="000000"/>
        </w:rPr>
        <w:t xml:space="preserve"> муниципальных нужд») </w:t>
      </w:r>
      <w:r>
        <w:rPr>
          <w:color w:val="000000"/>
        </w:rPr>
        <w:t xml:space="preserve">в связи с переносом </w:t>
      </w:r>
      <w:r>
        <w:rPr>
          <w:color w:val="000000"/>
        </w:rPr>
        <w:t xml:space="preserve">финансирования</w:t>
      </w:r>
      <w:r>
        <w:rPr>
          <w:color w:val="000000"/>
        </w:rPr>
        <w:t xml:space="preserve"> по заключенным контракт</w:t>
      </w:r>
      <w:r>
        <w:rPr>
          <w:color w:val="000000" w:themeColor="text1"/>
        </w:rPr>
        <w:t xml:space="preserve">ам с 2025 </w:t>
      </w:r>
      <w:r>
        <w:rPr>
          <w:color w:val="000000" w:themeColor="text1"/>
        </w:rPr>
        <w:t xml:space="preserve">-2026 </w:t>
      </w:r>
      <w:r>
        <w:rPr>
          <w:color w:val="000000" w:themeColor="text1"/>
        </w:rPr>
        <w:t xml:space="preserve">год</w:t>
      </w:r>
      <w:r>
        <w:rPr>
          <w:color w:val="000000" w:themeColor="text1"/>
        </w:rPr>
        <w:t xml:space="preserve">ов</w:t>
      </w:r>
      <w:r>
        <w:rPr>
          <w:color w:val="000000" w:themeColor="text1"/>
        </w:rPr>
        <w:t xml:space="preserve"> на 2026 и </w:t>
      </w:r>
      <w:r>
        <w:rPr>
          <w:color w:val="000000"/>
        </w:rPr>
        <w:t xml:space="preserve">2027 годы</w:t>
      </w:r>
      <w:r>
        <w:rPr>
          <w:color w:val="000000"/>
        </w:rPr>
        <w:t xml:space="preserve">, сообщает следующее.</w:t>
      </w:r>
      <w:r>
        <w:rPr>
          <w:color w:val="000000"/>
        </w:rPr>
      </w:r>
      <w:r>
        <w:rPr>
          <w:color w:val="000000"/>
        </w:rPr>
      </w:r>
    </w:p>
    <w:p>
      <w:pPr>
        <w:pStyle w:val="856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Согласно пункту 1 статьи 432 Гражданского кодекса Российской Федерации, пункту 2 статьи 42 Закона о контрактной системе </w:t>
      </w:r>
      <w:r>
        <w:rPr>
          <w:color w:val="000000" w:themeColor="text1"/>
        </w:rPr>
        <w:t xml:space="preserve">срок исполнения контракта относится к </w:t>
      </w:r>
      <w:r>
        <w:rPr>
          <w:color w:val="000000" w:themeColor="text1"/>
        </w:rPr>
        <w:t xml:space="preserve">существенным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условиям контракта, </w:t>
      </w:r>
      <w:r>
        <w:rPr>
          <w:color w:val="000000" w:themeColor="text1"/>
        </w:rPr>
        <w:t xml:space="preserve">с</w:t>
      </w:r>
      <w:r>
        <w:rPr>
          <w:color w:val="000000" w:themeColor="text1"/>
        </w:rPr>
        <w:t xml:space="preserve">ледовательно, условие о сроке исполнения обязательств </w:t>
      </w:r>
      <w:r>
        <w:rPr>
          <w:color w:val="000000" w:themeColor="text1"/>
        </w:rPr>
        <w:t xml:space="preserve">по контракту</w:t>
      </w:r>
      <w:r>
        <w:rPr>
          <w:color w:val="000000" w:themeColor="text1"/>
        </w:rPr>
        <w:t xml:space="preserve"> может быть изменено только в </w:t>
      </w:r>
      <w:r>
        <w:rPr>
          <w:color w:val="000000" w:themeColor="text1"/>
        </w:rPr>
        <w:t xml:space="preserve">определенных</w:t>
      </w:r>
      <w:r>
        <w:rPr>
          <w:color w:val="000000" w:themeColor="text1"/>
        </w:rPr>
        <w:t xml:space="preserve"> законом случаях.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56"/>
        <w:ind w:firstLine="709"/>
        <w:jc w:val="both"/>
      </w:pPr>
      <w:r>
        <w:rPr>
          <w:color w:val="000000" w:themeColor="text1"/>
        </w:rPr>
        <w:t xml:space="preserve">В соответствии с положениями 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HYPERLINK consultantplus://offline/ref=E9EC4AEEBDA8ABD333F985B2BD6FD3FF20E6923D90CA944A82337A1EBC234B9AC75D24A84FD94B993E920C2E81D8B5008BAB0DB5C113R3b5M </w:instrText>
      </w:r>
      <w:r>
        <w:rPr>
          <w:color w:val="000000" w:themeColor="text1"/>
        </w:rPr>
        <w:fldChar w:fldCharType="separate"/>
      </w:r>
      <w:r>
        <w:rPr>
          <w:color w:val="000000" w:themeColor="text1"/>
        </w:rPr>
        <w:t xml:space="preserve">пункта 6 статьи 161</w:t>
      </w:r>
      <w:r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БК РФ</w:t>
      </w:r>
      <w:r>
        <w:t xml:space="preserve"> </w:t>
      </w:r>
      <w:r>
        <w:t xml:space="preserve">в случае уменьшения казенному учреждению как получателю бюджетных средств главным распорядителем (расп</w:t>
      </w:r>
      <w:r>
        <w:t xml:space="preserve">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государственных (муниципальных) контрактов, казенное учреждение </w:t>
      </w:r>
      <w:r>
        <w:rPr>
          <w:i/>
        </w:rPr>
        <w:t xml:space="preserve">должно обеспечить согласование</w:t>
      </w:r>
      <w:r>
        <w:t xml:space="preserve"> новых условий таких государственных (муниципальных) контрактов, в том числе по цене и (или) </w:t>
      </w:r>
      <w:r>
        <w:rPr>
          <w:i/>
        </w:rPr>
        <w:t xml:space="preserve">срокам их исполнения</w:t>
      </w:r>
      <w:r>
        <w:t xml:space="preserve"> и (или) количеству (объему) товара (работы, услуги).</w:t>
      </w:r>
    </w:p>
    <w:p>
      <w:pPr>
        <w:pStyle w:val="856"/>
        <w:ind w:firstLine="709"/>
        <w:jc w:val="both"/>
      </w:pPr>
      <w:r>
        <w:t xml:space="preserve">При этом </w:t>
      </w:r>
      <w:r>
        <w:fldChar w:fldCharType="begin"/>
      </w:r>
      <w:r>
        <w:instrText xml:space="preserve">HYPERLINK consultantplus://offline/ref=E9EC4AEEBDA8ABD333F985B2BD6FD3FF20E6923D97CB944A82337A1EBC234B9AC75D24AF4DDC4F9362C81C2AC88CB91F8BB712B5DF13317ER0b3M </w:instrText>
      </w:r>
      <w:r>
        <w:fldChar w:fldCharType="separate"/>
      </w:r>
      <w:r>
        <w:t xml:space="preserve">пункт 6 части 1 статьи 95</w:t>
      </w:r>
      <w:r>
        <w:fldChar w:fldCharType="end"/>
      </w:r>
      <w:r>
        <w:t xml:space="preserve"> Закон</w:t>
      </w:r>
      <w:r>
        <w:t xml:space="preserve">а</w:t>
      </w:r>
      <w:r>
        <w:t xml:space="preserve"> о контрактной системе устанавливает возможность по соглашению сторон изменения существенных условий контракта в случаях, предусмотренных </w:t>
      </w:r>
      <w:r>
        <w:fldChar w:fldCharType="begin"/>
      </w:r>
      <w:r>
        <w:instrText xml:space="preserve">HYPERLINK consultantplus://offline/ref=E9EC4AEEBDA8ABD333F985B2BD6FD3FF20E6923D90CA944A82337A1EBC234B9AC75D24A84FD94A993E920C2E81D8B5008BAB0DB5C113R3b5M </w:instrText>
      </w:r>
      <w:r>
        <w:fldChar w:fldCharType="separate"/>
      </w:r>
      <w:r>
        <w:t xml:space="preserve">пунктом 6 статьи 161</w:t>
      </w:r>
      <w:r>
        <w:fldChar w:fldCharType="end"/>
      </w:r>
      <w:r>
        <w:t xml:space="preserve"> </w:t>
      </w:r>
      <w:r>
        <w:t xml:space="preserve">БК РФ</w:t>
      </w:r>
      <w:r>
        <w:t xml:space="preserve">, при уменьшении ранее доведенных до государственного или муниципального заказчика как получателя бюджетных средств лимитов бюджетных обязательств.</w:t>
      </w:r>
    </w:p>
    <w:p>
      <w:pPr>
        <w:pStyle w:val="856"/>
        <w:ind w:firstLine="540"/>
        <w:jc w:val="both"/>
      </w:pPr>
      <w:r>
        <w:t xml:space="preserve">Таким образом, </w:t>
      </w:r>
      <w:r>
        <w:rPr>
          <w:i/>
        </w:rPr>
        <w:t xml:space="preserve">в случае уменьшения ранее доведенных</w:t>
      </w:r>
      <w:r>
        <w:t xml:space="preserve"> до государственного заказчика, как получателя бюджетных средств, </w:t>
      </w:r>
      <w:r>
        <w:rPr>
          <w:i/>
        </w:rPr>
        <w:t xml:space="preserve">лимитов</w:t>
      </w:r>
      <w:r>
        <w:t xml:space="preserve"> бюджетных обязательств допускается </w:t>
      </w:r>
      <w:r>
        <w:rPr>
          <w:i/>
        </w:rPr>
        <w:t xml:space="preserve">по соглашению сторон</w:t>
      </w:r>
      <w:r>
        <w:t xml:space="preserve"> внесение изменения в контракт в части увеличения срока исполнения контракта на </w:t>
      </w:r>
      <w:r>
        <w:t xml:space="preserve">основании </w:t>
      </w:r>
      <w:r>
        <w:fldChar w:fldCharType="begin"/>
      </w:r>
      <w:r>
        <w:instrText xml:space="preserve">HYPERLINK consultantplus://offline/ref=D1CD32FAFCAD662597A2B5CE410EBEC911A6E24F6E9ABA3AF2A2C2FD35160031EB3D764230913C30ACB7433BD2B889EFC2FEBE23CE02BBC93EjCM </w:instrText>
      </w:r>
      <w:r>
        <w:fldChar w:fldCharType="separate"/>
      </w:r>
      <w:r>
        <w:t xml:space="preserve">пункта 6 части 1 статьи 95</w:t>
      </w:r>
      <w:r>
        <w:fldChar w:fldCharType="end"/>
      </w:r>
      <w:r>
        <w:t xml:space="preserve"> Закона о контрактной системе</w:t>
      </w:r>
      <w:r>
        <w:t xml:space="preserve">.</w:t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426" w:left="1418" w:header="1134" w:footer="782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8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32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604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676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48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20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892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964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36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082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6"/>
    <w:next w:val="856"/>
    <w:link w:val="67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6"/>
    <w:next w:val="856"/>
    <w:link w:val="68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6"/>
    <w:next w:val="856"/>
    <w:link w:val="68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6"/>
    <w:next w:val="856"/>
    <w:link w:val="68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6"/>
    <w:next w:val="856"/>
    <w:link w:val="68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6"/>
    <w:next w:val="856"/>
    <w:link w:val="68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6"/>
    <w:next w:val="856"/>
    <w:link w:val="69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6"/>
    <w:next w:val="856"/>
    <w:link w:val="69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6"/>
    <w:next w:val="856"/>
    <w:link w:val="69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6"/>
    <w:uiPriority w:val="34"/>
    <w:qFormat/>
    <w:pPr>
      <w:ind w:left="720"/>
      <w:contextualSpacing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6"/>
    <w:next w:val="856"/>
    <w:link w:val="69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spacing w:after="57"/>
      <w:ind w:left="0" w:right="0" w:firstLine="0"/>
    </w:pPr>
  </w:style>
  <w:style w:type="paragraph" w:styleId="846">
    <w:name w:val="toc 2"/>
    <w:basedOn w:val="856"/>
    <w:next w:val="856"/>
    <w:uiPriority w:val="39"/>
    <w:unhideWhenUsed/>
    <w:pPr>
      <w:spacing w:after="57"/>
      <w:ind w:left="283" w:right="0" w:firstLine="0"/>
    </w:pPr>
  </w:style>
  <w:style w:type="paragraph" w:styleId="847">
    <w:name w:val="toc 3"/>
    <w:basedOn w:val="856"/>
    <w:next w:val="856"/>
    <w:uiPriority w:val="39"/>
    <w:unhideWhenUsed/>
    <w:pPr>
      <w:spacing w:after="57"/>
      <w:ind w:left="567" w:right="0" w:firstLine="0"/>
    </w:pPr>
  </w:style>
  <w:style w:type="paragraph" w:styleId="848">
    <w:name w:val="toc 4"/>
    <w:basedOn w:val="856"/>
    <w:next w:val="856"/>
    <w:uiPriority w:val="39"/>
    <w:unhideWhenUsed/>
    <w:pPr>
      <w:spacing w:after="57"/>
      <w:ind w:left="850" w:right="0" w:firstLine="0"/>
    </w:pPr>
  </w:style>
  <w:style w:type="paragraph" w:styleId="849">
    <w:name w:val="toc 5"/>
    <w:basedOn w:val="856"/>
    <w:next w:val="856"/>
    <w:uiPriority w:val="39"/>
    <w:unhideWhenUsed/>
    <w:pPr>
      <w:spacing w:after="57"/>
      <w:ind w:left="1134" w:right="0" w:firstLine="0"/>
    </w:pPr>
  </w:style>
  <w:style w:type="paragraph" w:styleId="850">
    <w:name w:val="toc 6"/>
    <w:basedOn w:val="856"/>
    <w:next w:val="856"/>
    <w:uiPriority w:val="39"/>
    <w:unhideWhenUsed/>
    <w:pPr>
      <w:spacing w:after="57"/>
      <w:ind w:left="1417" w:right="0" w:firstLine="0"/>
    </w:pPr>
  </w:style>
  <w:style w:type="paragraph" w:styleId="851">
    <w:name w:val="toc 7"/>
    <w:basedOn w:val="856"/>
    <w:next w:val="856"/>
    <w:uiPriority w:val="39"/>
    <w:unhideWhenUsed/>
    <w:pPr>
      <w:spacing w:after="57"/>
      <w:ind w:left="1701" w:right="0" w:firstLine="0"/>
    </w:pPr>
  </w:style>
  <w:style w:type="paragraph" w:styleId="852">
    <w:name w:val="toc 8"/>
    <w:basedOn w:val="856"/>
    <w:next w:val="856"/>
    <w:uiPriority w:val="39"/>
    <w:unhideWhenUsed/>
    <w:pPr>
      <w:spacing w:after="57"/>
      <w:ind w:left="1984" w:right="0" w:firstLine="0"/>
    </w:pPr>
  </w:style>
  <w:style w:type="paragraph" w:styleId="853">
    <w:name w:val="toc 9"/>
    <w:basedOn w:val="856"/>
    <w:next w:val="856"/>
    <w:uiPriority w:val="39"/>
    <w:unhideWhenUsed/>
    <w:pPr>
      <w:spacing w:after="57"/>
      <w:ind w:left="2268" w:right="0" w:firstLine="0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next w:val="856"/>
    <w:link w:val="856"/>
    <w:qFormat/>
    <w:rPr>
      <w:sz w:val="28"/>
      <w:szCs w:val="28"/>
      <w:lang w:val="ru-RU" w:eastAsia="ru-RU" w:bidi="ar-SA"/>
    </w:rPr>
  </w:style>
  <w:style w:type="character" w:styleId="857">
    <w:name w:val="Основной шрифт абзаца"/>
    <w:next w:val="857"/>
    <w:link w:val="856"/>
    <w:semiHidden/>
  </w:style>
  <w:style w:type="table" w:styleId="858">
    <w:name w:val="Обычная таблица"/>
    <w:next w:val="858"/>
    <w:link w:val="856"/>
    <w:semiHidden/>
    <w:tblPr/>
  </w:style>
  <w:style w:type="numbering" w:styleId="859">
    <w:name w:val="Нет списка"/>
    <w:next w:val="859"/>
    <w:link w:val="856"/>
    <w:semiHidden/>
  </w:style>
  <w:style w:type="paragraph" w:styleId="860">
    <w:name w:val="Верхний колонтитул"/>
    <w:basedOn w:val="856"/>
    <w:next w:val="860"/>
    <w:link w:val="861"/>
    <w:uiPriority w:val="99"/>
    <w:pPr>
      <w:tabs>
        <w:tab w:val="center" w:pos="4153" w:leader="none"/>
        <w:tab w:val="right" w:pos="8306" w:leader="none"/>
      </w:tabs>
    </w:pPr>
  </w:style>
  <w:style w:type="character" w:styleId="861">
    <w:name w:val="Верхний колонтитул Знак"/>
    <w:next w:val="861"/>
    <w:link w:val="860"/>
    <w:uiPriority w:val="99"/>
    <w:rPr>
      <w:sz w:val="28"/>
      <w:szCs w:val="28"/>
      <w:lang w:val="ru-RU" w:eastAsia="ru-RU" w:bidi="ar-SA"/>
    </w:rPr>
  </w:style>
  <w:style w:type="character" w:styleId="862">
    <w:name w:val="Гиперссылка"/>
    <w:next w:val="862"/>
    <w:link w:val="856"/>
    <w:rPr>
      <w:rFonts w:cs="Times New Roman"/>
      <w:color w:val="0000ff"/>
      <w:u w:val="single"/>
    </w:rPr>
  </w:style>
  <w:style w:type="paragraph" w:styleId="863">
    <w:name w:val="Основной текст 2"/>
    <w:basedOn w:val="856"/>
    <w:next w:val="863"/>
    <w:link w:val="864"/>
    <w:pPr>
      <w:jc w:val="both"/>
    </w:pPr>
  </w:style>
  <w:style w:type="character" w:styleId="864">
    <w:name w:val="Основной текст 2 Знак"/>
    <w:next w:val="864"/>
    <w:link w:val="863"/>
    <w:rPr>
      <w:sz w:val="28"/>
      <w:szCs w:val="28"/>
      <w:lang w:val="ru-RU" w:eastAsia="ru-RU" w:bidi="ar-SA"/>
    </w:rPr>
  </w:style>
  <w:style w:type="paragraph" w:styleId="865">
    <w:name w:val="Основной текст 3"/>
    <w:basedOn w:val="856"/>
    <w:next w:val="865"/>
    <w:link w:val="866"/>
    <w:pPr>
      <w:jc w:val="center"/>
    </w:pPr>
    <w:rPr>
      <w:b/>
      <w:bCs/>
    </w:rPr>
  </w:style>
  <w:style w:type="character" w:styleId="866">
    <w:name w:val="Основной текст 3 Знак"/>
    <w:next w:val="866"/>
    <w:link w:val="865"/>
    <w:rPr>
      <w:b/>
      <w:bCs/>
      <w:sz w:val="28"/>
      <w:szCs w:val="28"/>
      <w:lang w:val="ru-RU" w:eastAsia="ru-RU" w:bidi="ar-SA"/>
    </w:rPr>
  </w:style>
  <w:style w:type="table" w:styleId="867">
    <w:name w:val="Сетка таблицы"/>
    <w:basedOn w:val="858"/>
    <w:next w:val="867"/>
    <w:link w:val="856"/>
    <w:rPr>
      <w:rFonts w:ascii="Calibri" w:hAnsi="Calibri" w:eastAsia="Calibri"/>
    </w:rPr>
    <w:tblPr/>
  </w:style>
  <w:style w:type="paragraph" w:styleId="868">
    <w:name w:val="Текст выноски"/>
    <w:basedOn w:val="856"/>
    <w:next w:val="868"/>
    <w:link w:val="856"/>
    <w:semiHidden/>
    <w:rPr>
      <w:rFonts w:ascii="Tahoma" w:hAnsi="Tahoma" w:cs="Tahoma"/>
      <w:sz w:val="16"/>
      <w:szCs w:val="16"/>
    </w:rPr>
  </w:style>
  <w:style w:type="paragraph" w:styleId="869">
    <w:name w:val="Block Text"/>
    <w:basedOn w:val="856"/>
    <w:next w:val="869"/>
    <w:link w:val="856"/>
    <w:pPr>
      <w:tabs>
        <w:tab w:val="left" w:pos="2552" w:leader="none"/>
      </w:tabs>
      <w:ind w:left="1701" w:right="-369" w:hanging="2694"/>
      <w:jc w:val="both"/>
    </w:pPr>
    <w:rPr>
      <w:szCs w:val="20"/>
    </w:rPr>
  </w:style>
  <w:style w:type="paragraph" w:styleId="870">
    <w:name w:val="Нижний колонтитул"/>
    <w:basedOn w:val="856"/>
    <w:next w:val="870"/>
    <w:link w:val="877"/>
    <w:pPr>
      <w:tabs>
        <w:tab w:val="center" w:pos="4677" w:leader="none"/>
        <w:tab w:val="right" w:pos="9355" w:leader="none"/>
      </w:tabs>
    </w:pPr>
  </w:style>
  <w:style w:type="character" w:styleId="871">
    <w:name w:val=" Знак Знак4"/>
    <w:next w:val="871"/>
    <w:link w:val="856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2">
    <w:name w:val="Default"/>
    <w:next w:val="872"/>
    <w:link w:val="856"/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styleId="873">
    <w:name w:val="Style5"/>
    <w:basedOn w:val="856"/>
    <w:next w:val="873"/>
    <w:link w:val="856"/>
    <w:uiPriority w:val="99"/>
    <w:pPr>
      <w:widowControl w:val="off"/>
      <w:spacing w:line="372" w:lineRule="exact"/>
      <w:ind w:firstLine="701"/>
      <w:jc w:val="both"/>
    </w:pPr>
    <w:rPr>
      <w:rFonts w:eastAsia="Times New Roman"/>
      <w:sz w:val="24"/>
      <w:szCs w:val="24"/>
    </w:rPr>
  </w:style>
  <w:style w:type="character" w:styleId="874">
    <w:name w:val="Font Style14"/>
    <w:next w:val="874"/>
    <w:link w:val="856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75">
    <w:name w:val="Font Style15"/>
    <w:next w:val="875"/>
    <w:link w:val="856"/>
    <w:uiPriority w:val="99"/>
    <w:rPr>
      <w:rFonts w:ascii="Times New Roman" w:hAnsi="Times New Roman" w:cs="Times New Roman"/>
      <w:sz w:val="26"/>
      <w:szCs w:val="26"/>
    </w:rPr>
  </w:style>
  <w:style w:type="paragraph" w:styleId="876">
    <w:name w:val="ConsPlusNormal"/>
    <w:next w:val="876"/>
    <w:link w:val="856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character" w:styleId="877">
    <w:name w:val="Нижний колонтитул Знак"/>
    <w:next w:val="877"/>
    <w:link w:val="870"/>
    <w:uiPriority w:val="99"/>
    <w:rPr>
      <w:sz w:val="28"/>
      <w:szCs w:val="28"/>
    </w:rPr>
  </w:style>
  <w:style w:type="paragraph" w:styleId="878">
    <w:name w:val="Обычный (веб)"/>
    <w:basedOn w:val="856"/>
    <w:next w:val="878"/>
    <w:link w:val="85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79">
    <w:name w:val="Знак примечания"/>
    <w:next w:val="879"/>
    <w:link w:val="856"/>
    <w:rPr>
      <w:sz w:val="16"/>
      <w:szCs w:val="16"/>
    </w:rPr>
  </w:style>
  <w:style w:type="paragraph" w:styleId="880">
    <w:name w:val="Текст примечания"/>
    <w:basedOn w:val="856"/>
    <w:next w:val="880"/>
    <w:link w:val="881"/>
    <w:rPr>
      <w:sz w:val="20"/>
      <w:szCs w:val="20"/>
    </w:rPr>
  </w:style>
  <w:style w:type="character" w:styleId="881">
    <w:name w:val="Текст примечания Знак"/>
    <w:basedOn w:val="857"/>
    <w:next w:val="881"/>
    <w:link w:val="880"/>
  </w:style>
  <w:style w:type="paragraph" w:styleId="882">
    <w:name w:val="Тема примечания"/>
    <w:basedOn w:val="880"/>
    <w:next w:val="880"/>
    <w:link w:val="883"/>
    <w:rPr>
      <w:b/>
      <w:bCs/>
    </w:rPr>
  </w:style>
  <w:style w:type="character" w:styleId="883">
    <w:name w:val="Тема примечания Знак"/>
    <w:next w:val="883"/>
    <w:link w:val="882"/>
    <w:rPr>
      <w:b/>
      <w:bCs/>
    </w:rPr>
  </w:style>
  <w:style w:type="paragraph" w:styleId="884">
    <w:name w:val="Рецензия"/>
    <w:next w:val="884"/>
    <w:link w:val="856"/>
    <w:hidden/>
    <w:uiPriority w:val="99"/>
    <w:semiHidden/>
    <w:rPr>
      <w:sz w:val="28"/>
      <w:szCs w:val="28"/>
      <w:lang w:val="ru-RU" w:eastAsia="ru-RU" w:bidi="ar-SA"/>
    </w:rPr>
  </w:style>
  <w:style w:type="paragraph" w:styleId="885">
    <w:name w:val="Основной текст"/>
    <w:basedOn w:val="856"/>
    <w:next w:val="885"/>
    <w:link w:val="886"/>
    <w:pPr>
      <w:spacing w:after="120"/>
    </w:pPr>
  </w:style>
  <w:style w:type="character" w:styleId="886">
    <w:name w:val="Основной текст Знак"/>
    <w:next w:val="886"/>
    <w:link w:val="885"/>
    <w:rPr>
      <w:sz w:val="28"/>
      <w:szCs w:val="28"/>
    </w:rPr>
  </w:style>
  <w:style w:type="character" w:styleId="887">
    <w:name w:val="Выделение"/>
    <w:next w:val="887"/>
    <w:link w:val="856"/>
    <w:uiPriority w:val="20"/>
    <w:qFormat/>
    <w:rPr>
      <w:i/>
      <w:iCs/>
    </w:rPr>
  </w:style>
  <w:style w:type="table" w:styleId="888">
    <w:name w:val="Сетка таблицы1"/>
    <w:basedOn w:val="858"/>
    <w:next w:val="867"/>
    <w:link w:val="856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89">
    <w:name w:val="Официальный"/>
    <w:basedOn w:val="856"/>
    <w:next w:val="889"/>
    <w:link w:val="856"/>
    <w:qFormat/>
    <w:pPr>
      <w:ind w:firstLine="709"/>
    </w:pPr>
    <w:rPr>
      <w:rFonts w:eastAsia="Calibri"/>
      <w:szCs w:val="22"/>
      <w:lang w:eastAsia="en-US"/>
    </w:rPr>
  </w:style>
  <w:style w:type="character" w:styleId="890">
    <w:name w:val="Цветовое выделение"/>
    <w:next w:val="890"/>
    <w:link w:val="856"/>
    <w:uiPriority w:val="99"/>
    <w:rPr>
      <w:b/>
      <w:bCs/>
      <w:color w:val="26282f"/>
    </w:rPr>
  </w:style>
  <w:style w:type="character" w:styleId="891">
    <w:name w:val="Неразрешенное упоминание"/>
    <w:next w:val="891"/>
    <w:link w:val="856"/>
    <w:uiPriority w:val="99"/>
    <w:semiHidden/>
    <w:unhideWhenUsed/>
    <w:rPr>
      <w:color w:val="605e5c"/>
      <w:shd w:val="clear" w:color="auto" w:fill="e1dfdd"/>
    </w:rPr>
  </w:style>
  <w:style w:type="paragraph" w:styleId="892">
    <w:name w:val="docdata,docy,v5,3606,bqiaagaaeyqcaaagiaiaaan0cwaabyilaaaaaaaaaaaaaaaaaaaaaaaaaaaaaaaaaaaaaaaaaaaaaaaaaaaaaaaaaaaaaaaaaaaaaaaaaaaaaaaaaaaaaaaaaaaaaaaaaaaaaaaaaaaaaaaaaaaaaaaaaaaaaaaaaaaaaaaaaaaaaaaaaaaaaaaaaaaaaaaaaaaaaaaaaaaaaaaaaaaaaaaaaaaaaaaaaaaaaaaa"/>
    <w:basedOn w:val="856"/>
    <w:next w:val="892"/>
    <w:link w:val="856"/>
    <w:pPr>
      <w:spacing w:before="100" w:beforeAutospacing="1" w:after="100" w:afterAutospacing="1"/>
    </w:pPr>
    <w:rPr>
      <w:sz w:val="24"/>
      <w:szCs w:val="24"/>
    </w:rPr>
  </w:style>
  <w:style w:type="paragraph" w:styleId="893">
    <w:name w:val="Абзац списка"/>
    <w:basedOn w:val="856"/>
    <w:next w:val="893"/>
    <w:link w:val="856"/>
    <w:uiPriority w:val="34"/>
    <w:qFormat/>
    <w:pPr>
      <w:ind w:left="708"/>
    </w:pPr>
  </w:style>
  <w:style w:type="character" w:styleId="894" w:default="1">
    <w:name w:val="Default Paragraph Font"/>
    <w:uiPriority w:val="1"/>
    <w:semiHidden/>
    <w:unhideWhenUsed/>
  </w:style>
  <w:style w:type="numbering" w:styleId="895" w:default="1">
    <w:name w:val="No List"/>
    <w:uiPriority w:val="99"/>
    <w:semiHidden/>
    <w:unhideWhenUsed/>
  </w:style>
  <w:style w:type="table" w:styleId="8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revision>7</cp:revision>
  <dcterms:created xsi:type="dcterms:W3CDTF">2024-12-11T12:41:00Z</dcterms:created>
  <dcterms:modified xsi:type="dcterms:W3CDTF">2025-01-22T02:00:09Z</dcterms:modified>
  <cp:version>1048576</cp:version>
</cp:coreProperties>
</file>