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5C" w:rsidRDefault="00941531">
      <w:pPr>
        <w:ind w:firstLine="709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04.06.2025 № 02-10/640/39</w:t>
      </w:r>
    </w:p>
    <w:p w:rsidR="00941531" w:rsidRDefault="00941531">
      <w:pPr>
        <w:ind w:firstLine="709"/>
        <w:jc w:val="both"/>
        <w:rPr>
          <w:rFonts w:eastAsia="Calibri"/>
          <w:lang w:eastAsia="en-US"/>
        </w:rPr>
      </w:pPr>
    </w:p>
    <w:p w:rsidR="00941531" w:rsidRPr="00941531" w:rsidRDefault="00941531" w:rsidP="00941531">
      <w:pPr>
        <w:ind w:firstLine="709"/>
        <w:jc w:val="center"/>
        <w:rPr>
          <w:rFonts w:eastAsia="Calibri"/>
          <w:b/>
          <w:lang w:eastAsia="en-US"/>
        </w:rPr>
      </w:pPr>
      <w:r w:rsidRPr="00941531">
        <w:rPr>
          <w:rFonts w:eastAsia="Calibri"/>
          <w:b/>
          <w:lang w:eastAsia="en-US"/>
        </w:rPr>
        <w:t>О применении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топлива моторного, включая автомобильный и авиационный бензин, утвержденного приказом Федеральной антимонопольной службы от 22.11.2024 № 894/24</w:t>
      </w:r>
    </w:p>
    <w:p w:rsidR="00941531" w:rsidRDefault="00941531">
      <w:pPr>
        <w:ind w:firstLine="709"/>
        <w:jc w:val="both"/>
        <w:rPr>
          <w:rFonts w:eastAsia="Calibri"/>
          <w:lang w:eastAsia="en-US"/>
        </w:rPr>
      </w:pPr>
    </w:p>
    <w:p w:rsidR="00186E5C" w:rsidRDefault="00CF5FA4"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Контрольное управление Новосибирской области действующими нормативными правовыми актами Новосибирской области не наделено полномочиями по официальному разъяснению и толкованию </w:t>
      </w:r>
      <w:r>
        <w:t>законодательства Российской Федерации, в том числе</w:t>
      </w:r>
      <w:r>
        <w:rPr>
          <w:rFonts w:eastAsia="Calibri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а так же Порядка </w:t>
      </w:r>
      <w:r>
        <w:rPr>
          <w:color w:val="000000"/>
          <w:highlight w:val="white"/>
        </w:rPr>
        <w:t>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топлива моторного, включая автомобильный и авиационный бензин</w:t>
      </w:r>
      <w:r w:rsidR="00184F6D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утвержденного приказом Федеральной антимонопольной службы от 22.11.2024 № 894/24</w:t>
      </w:r>
      <w:r>
        <w:rPr>
          <w:color w:val="000000"/>
        </w:rPr>
        <w:t xml:space="preserve"> (далее – Порядок)</w:t>
      </w:r>
      <w:r>
        <w:rPr>
          <w:rFonts w:eastAsia="Calibri"/>
          <w:lang w:eastAsia="en-US"/>
        </w:rPr>
        <w:t>.</w:t>
      </w:r>
    </w:p>
    <w:p w:rsidR="00186E5C" w:rsidRDefault="00CF5FA4">
      <w:pPr>
        <w:ind w:firstLine="709"/>
        <w:jc w:val="both"/>
      </w:pPr>
      <w:r>
        <w:rPr>
          <w:rFonts w:eastAsia="Calibri"/>
          <w:lang w:eastAsia="en-US"/>
        </w:rPr>
        <w:t>Однако, считаем возможным выразить свое мнение относительно</w:t>
      </w:r>
      <w:r>
        <w:t xml:space="preserve"> Вашего обращения в части пр</w:t>
      </w:r>
      <w:r w:rsidR="00184F6D">
        <w:t>актического применения Порядка.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</w:rPr>
      </w:pPr>
      <w:r>
        <w:rPr>
          <w:b/>
        </w:rPr>
        <w:t>По вопросу 1.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 w:themeColor="text1"/>
          <w:highlight w:val="white"/>
        </w:rPr>
      </w:pPr>
      <w:r w:rsidRPr="00C77327">
        <w:t xml:space="preserve">Согласно разъяснениям от 21.03.2025 к </w:t>
      </w:r>
      <w:r>
        <w:rPr>
          <w:color w:val="000000" w:themeColor="text1"/>
        </w:rPr>
        <w:t xml:space="preserve">Приказу </w:t>
      </w:r>
      <w:r>
        <w:rPr>
          <w:rFonts w:eastAsia="Calibri"/>
          <w:lang w:eastAsia="en-US"/>
        </w:rPr>
        <w:t>Федеральной антимонопольной службы</w:t>
      </w:r>
      <w:r>
        <w:rPr>
          <w:color w:val="000000" w:themeColor="text1"/>
        </w:rPr>
        <w:t xml:space="preserve"> (далее – ФАС)</w:t>
      </w:r>
      <w:r w:rsidR="00184F6D"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>все расчёты должны основываться на актуальных рыночных ценах, учитывать условия поставки, сезонность, а также возможность авансирования и отсрочки платежа</w:t>
      </w:r>
      <w:r>
        <w:rPr>
          <w:color w:val="000000" w:themeColor="text1"/>
        </w:rPr>
        <w:t>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</w:pPr>
      <w:r>
        <w:t>В</w:t>
      </w:r>
      <w:r>
        <w:rPr>
          <w:highlight w:val="white"/>
        </w:rPr>
        <w:t xml:space="preserve"> случае поставки товара заказчику на топливораздаточных колонках посредством отгрузки в бак (емкость) автомобильного </w:t>
      </w:r>
      <w:r w:rsidR="00184F6D">
        <w:rPr>
          <w:highlight w:val="white"/>
        </w:rPr>
        <w:t xml:space="preserve">транспорта (то есть с АЗС, АЗК </w:t>
      </w:r>
      <w:r>
        <w:rPr>
          <w:highlight w:val="white"/>
        </w:rPr>
        <w:t>и т.д.) применяется пункт 6 Порядка.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  <w:highlight w:val="white"/>
        </w:rPr>
      </w:pPr>
      <w:r w:rsidRPr="00C77327">
        <w:t xml:space="preserve">Из письма ФАС от 21 марта 2025 г. № ЦА/26087/25 </w:t>
      </w:r>
      <w:r>
        <w:rPr>
          <w:color w:val="000000"/>
        </w:rPr>
        <w:t>следует, что в</w:t>
      </w:r>
      <w:r>
        <w:rPr>
          <w:color w:val="000000"/>
          <w:highlight w:val="white"/>
        </w:rPr>
        <w:t xml:space="preserve"> соответствии с положениями Порядка, основой при формировании начальной (максимальной) цены контракта (далее - НМЦК), цены контракта, заключаемого с единственным поставщиком (подрядчиком, исполнителем) (далее - Цена контракта), начальной цены единицы товара, работы, услуги (далее - Начальная цена) являются текущие рыночные цены, определенные в зависимости от условий поставки товара: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  <w:highlight w:val="white"/>
        </w:rPr>
      </w:pPr>
      <w:r>
        <w:rPr>
          <w:color w:val="000000"/>
        </w:rPr>
        <w:t xml:space="preserve">- </w:t>
      </w:r>
      <w:r>
        <w:rPr>
          <w:color w:val="000000"/>
          <w:highlight w:val="white"/>
        </w:rPr>
        <w:t>региональные биржевые и (или) внебиржевые индексы цен на товар, а также биржевые индексы цен на нефтеперерабатывающем заводе (данные индексы публикуются на официальном сайте биржи в информационно-телекоммуникационной сети «Интернет»);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  <w:highlight w:val="white"/>
        </w:rPr>
      </w:pPr>
      <w:r>
        <w:rPr>
          <w:color w:val="000000"/>
        </w:rPr>
        <w:t xml:space="preserve">- </w:t>
      </w:r>
      <w:r>
        <w:rPr>
          <w:color w:val="000000"/>
          <w:highlight w:val="white"/>
        </w:rPr>
        <w:t>статистические данные, предоставляемые ЦДУ ТЭК - филиалом ФГБУ «РЭА» Минэнерго России (далее - ЦДУ ТЭК) согласно договору о предоставлении услуг по подготовке и передаче информационных продуктов в области ТЭК;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  <w:highlight w:val="white"/>
        </w:rPr>
      </w:pPr>
      <w:r>
        <w:rPr>
          <w:color w:val="000000"/>
        </w:rPr>
        <w:lastRenderedPageBreak/>
        <w:t xml:space="preserve">- </w:t>
      </w:r>
      <w:r>
        <w:rPr>
          <w:color w:val="000000"/>
          <w:highlight w:val="white"/>
        </w:rPr>
        <w:t>статистические данные Федеральной службы государственной статистики (Росстат), в том числе</w:t>
      </w:r>
      <w:r>
        <w:rPr>
          <w:highlight w:val="white"/>
        </w:rPr>
        <w:t xml:space="preserve"> данные о средней потребительской цене на определенный вид топлива, размещенные на сайте территориального органа государственной статистики</w:t>
      </w:r>
      <w:r>
        <w:t>;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  <w:highlight w:val="white"/>
        </w:rPr>
      </w:pPr>
      <w:r>
        <w:t>-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статистические данные единой межведомственной информационно-</w:t>
      </w:r>
      <w:r w:rsidR="00184F6D">
        <w:rPr>
          <w:color w:val="000000"/>
          <w:highlight w:val="white"/>
        </w:rPr>
        <w:t>статистической системы (ЕМИСС);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</w:pPr>
      <w:r>
        <w:rPr>
          <w:color w:val="000000"/>
        </w:rPr>
        <w:t xml:space="preserve">- </w:t>
      </w:r>
      <w:r>
        <w:rPr>
          <w:color w:val="000000"/>
          <w:highlight w:val="white"/>
        </w:rPr>
        <w:t>другие источники, распространяющие либо предоставляющие статистическую информацию.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highlight w:val="white"/>
        </w:rPr>
        <w:t>Следовательно, перечень источников статистической информации, предусмотренный Порядком, не ограничен и иная информация может быть использована при формировании НМЦК, Начальной цены и Цены контракта по усмотрению заказчика.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  <w:highlight w:val="white"/>
        </w:rPr>
      </w:pPr>
      <w:r>
        <w:rPr>
          <w:color w:val="000000"/>
        </w:rPr>
        <w:t>При формировании Цены контракта, НМЦК и Начальной цены на дату поставки товара (для месяца поставки следующего за текущим) м</w:t>
      </w:r>
      <w:r>
        <w:rPr>
          <w:color w:val="000000"/>
          <w:highlight w:val="white"/>
        </w:rPr>
        <w:t xml:space="preserve">ожет учитываться стоимость транспортировки, коэффициенты и показатели, установленные пунктами 7 и 8 Порядка, а именно, коэффициент стоимости отвлечения денежных средств при предоставлении отсрочки платежа в размере текущей ставки рефинансирования Банка России и коэффициент перехода на сезонный вид продукции, рассчитанный на основании статистических данных аналогичного периода поставки (месяца) предыдущего года, индекс потребительских цен (далее - ИПЦ), условия поставки товара, в том числе сроки и объем поставки, наличие авансирования, порядок расчета за </w:t>
      </w:r>
      <w:r w:rsidR="00184F6D">
        <w:rPr>
          <w:color w:val="000000"/>
          <w:highlight w:val="white"/>
        </w:rPr>
        <w:t>поставленное моторное топливо.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Указанные дополнительные показатели и коэффициенты рассчитываются и применяются заказчиками самостоятельно, при наличии соответствующих условий, влекущих учет так</w:t>
      </w:r>
      <w:r w:rsidR="00184F6D">
        <w:rPr>
          <w:color w:val="000000"/>
          <w:highlight w:val="white"/>
        </w:rPr>
        <w:t>их показателей и коэффициентов.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color w:val="000000"/>
          <w:highlight w:val="white"/>
        </w:rPr>
        <w:t xml:space="preserve">Так, </w:t>
      </w:r>
      <w:r>
        <w:rPr>
          <w:highlight w:val="white"/>
        </w:rPr>
        <w:t>коэффициенты, установленные в пункте 7 Порядка, могут применяться заказчиком как вместе, так и отдельно друг от друга. При этом: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highlight w:val="white"/>
        </w:rPr>
        <w:t>-коэффициент стоимости отвлечения денежных средств применяется при предоставлении отсрочки платежа.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highlight w:val="white"/>
        </w:rPr>
        <w:t>-коэффициент перехода на сезонный вид продукции, рассчитанный на основании статистических данных аналогичного периода поставки предыдущего года - с учетом климатических условий применения вида (марки) топлива моторного.</w:t>
      </w:r>
      <w:r>
        <w:rPr>
          <w:highlight w:val="white"/>
        </w:rPr>
        <w:tab/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highlight w:val="white"/>
        </w:rPr>
        <w:t xml:space="preserve">Также пунктом 8 Порядка установлено, что в случае если на дату определения цены на Товар отсутствуют данные о значении рыночного индикатора, то НМЦК, Начальная цена и Цена контракта на такой Товар определяются на уровне, не превышающем расчетное значение рыночного индикатора, определяемого путем индексации рыночного индикатора для последнего из имеющихся периодов с применением ИПЦ, с учетом условий поставки Товара, в том числе сроков и объемов поставки, наличия авансирования и порядка </w:t>
      </w:r>
      <w:r w:rsidR="00184F6D">
        <w:rPr>
          <w:highlight w:val="white"/>
        </w:rPr>
        <w:t>расчетов за поставленный Товар.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highlight w:val="white"/>
        </w:rPr>
        <w:t>В целях единообразного применения Порядка необходимо понимать: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highlight w:val="white"/>
        </w:rPr>
        <w:lastRenderedPageBreak/>
        <w:t>1) под датой определения цены на Товар понимается дата (месяц) поставки Товара.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highlight w:val="white"/>
        </w:rPr>
        <w:t>2) отсутствие данных о значении рыночного индикатора на дату определения цены - отсутствие биржевых/внебиржевых индексов или статистической информации в месяце поставки товара.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highlight w:val="white"/>
        </w:rPr>
      </w:pPr>
      <w:r>
        <w:rPr>
          <w:highlight w:val="white"/>
        </w:rPr>
        <w:t>В случае, если поставка товара будет осуществляться в месяце, по которому статистическая информация имеется - ИПЦ не применяется.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На 2025 год ИПЦ в базовом варианте установлен на уровне 104,5 (ИПЦ в % к декабрю предыдущего года). Данная информация опубликована Минэкономразвития России на официальном сайте:</w:t>
      </w:r>
    </w:p>
    <w:p w:rsidR="00186E5C" w:rsidRDefault="00B42CD6">
      <w:pPr>
        <w:ind w:firstLine="709"/>
        <w:jc w:val="both"/>
        <w:rPr>
          <w:color w:val="000000" w:themeColor="text1"/>
        </w:rPr>
      </w:pPr>
      <w:hyperlink r:id="rId7" w:tooltip="https://economy.gov.ru/material/directions/makroec/prognozy_socialno_ekonomicheskogo_razvitiya/." w:history="1">
        <w:r w:rsidR="00CF5FA4">
          <w:rPr>
            <w:rStyle w:val="af1"/>
            <w:color w:val="000000" w:themeColor="text1"/>
            <w:highlight w:val="white"/>
            <w:u w:val="none"/>
          </w:rPr>
          <w:t>https://economy.gov.ru/material/directions/makroec/prognozy_socialno_ekonomich</w:t>
        </w:r>
        <w:r w:rsidR="00CF5FA4">
          <w:rPr>
            <w:rStyle w:val="af1"/>
            <w:color w:val="000000" w:themeColor="text1"/>
            <w:u w:val="none"/>
          </w:rPr>
          <w:t>eskogo_razvitiya/.</w:t>
        </w:r>
      </w:hyperlink>
    </w:p>
    <w:p w:rsidR="00186E5C" w:rsidRDefault="00CF5FA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основании вышеизложенного, при обосновании НМЦК цена за единицу рассчитывается исходя из показателей </w:t>
      </w:r>
      <w:r>
        <w:rPr>
          <w:highlight w:val="white"/>
        </w:rPr>
        <w:t>коэффициента перехода на сезонный вид продукции</w:t>
      </w:r>
      <w:r>
        <w:rPr>
          <w:color w:val="000000" w:themeColor="text1"/>
        </w:rPr>
        <w:t xml:space="preserve"> либо</w:t>
      </w:r>
      <w:r>
        <w:t xml:space="preserve"> </w:t>
      </w:r>
      <w:r>
        <w:rPr>
          <w:highlight w:val="white"/>
        </w:rPr>
        <w:t>коэффициента стоимости отвлечения денежных средств</w:t>
      </w:r>
      <w:r>
        <w:rPr>
          <w:color w:val="000000" w:themeColor="text1"/>
        </w:rPr>
        <w:t xml:space="preserve"> или </w:t>
      </w:r>
      <w:r w:rsidR="00184F6D">
        <w:rPr>
          <w:color w:val="000000" w:themeColor="text1"/>
        </w:rPr>
        <w:t>с ИПЦ, в зависимости от условий</w:t>
      </w:r>
      <w:r>
        <w:rPr>
          <w:color w:val="000000" w:themeColor="text1"/>
        </w:rPr>
        <w:t xml:space="preserve"> поставки и сроков исполнения контракта. Так, при несостоявшимся аукционе и заключении контракта с единственным поставщиком, подавшим заяв</w:t>
      </w:r>
      <w:r w:rsidR="00184F6D">
        <w:rPr>
          <w:color w:val="000000" w:themeColor="text1"/>
        </w:rPr>
        <w:t xml:space="preserve">ку на участие в аукционе, цена </w:t>
      </w:r>
      <w:r>
        <w:rPr>
          <w:color w:val="000000" w:themeColor="text1"/>
        </w:rPr>
        <w:t>единицы товара за топливо соответствует расчету в соо</w:t>
      </w:r>
      <w:r w:rsidR="00184F6D">
        <w:rPr>
          <w:color w:val="000000" w:themeColor="text1"/>
        </w:rPr>
        <w:t>тветствии с Приказом №894/24.</w:t>
      </w:r>
    </w:p>
    <w:p w:rsidR="00186E5C" w:rsidRDefault="00CF5FA4">
      <w:pPr>
        <w:ind w:firstLine="709"/>
        <w:jc w:val="both"/>
        <w:rPr>
          <w:b/>
          <w:bCs/>
        </w:rPr>
      </w:pPr>
      <w:r>
        <w:rPr>
          <w:b/>
        </w:rPr>
        <w:t>По вопросу 2.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</w:pPr>
      <w:r>
        <w:t>Согласно части 2 статьи 34 Федерального закона № 44-ФЗ установлено, что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настоящего Федерального закона,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</w:pPr>
      <w:r>
        <w:t>Постановлением Правительства Российской Федерации от 13.01.2014 № 19 (ред. от 31.10.2022) «Об установлении случаев, в которых при заключении контракта указываются формула цены и максимальное значение цены контракта» (далее – Постановление № 19) установлено, что при заключении контракта указывается формула цены и максимальное значение цены контракта на поставку топлива моторного, включая авто</w:t>
      </w:r>
      <w:r w:rsidR="00184F6D">
        <w:t>мобильный и авиационный бензин.</w:t>
      </w:r>
    </w:p>
    <w:p w:rsidR="00186E5C" w:rsidRDefault="00CF5F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</w:pPr>
      <w:r>
        <w:t>В соответствии с указанным нормативно-правовым актом поставка моторного топлива, в том числе автомобильного и авиационного бензина, отнесена к исключениям из правил об указании твердой цены контракта, а установлено, что при заключении контракта на поставку топлива моторного, включая автомобильный и авиационный бензин</w:t>
      </w:r>
      <w:r>
        <w:rPr>
          <w:b/>
          <w:bCs/>
        </w:rPr>
        <w:t xml:space="preserve"> </w:t>
      </w:r>
      <w:r>
        <w:t>указываются формула цены и максимальное значение цены контракта.</w:t>
      </w:r>
    </w:p>
    <w:p w:rsidR="00184F6D" w:rsidRDefault="00CF5FA4">
      <w:pPr>
        <w:ind w:firstLine="709"/>
        <w:jc w:val="both"/>
        <w:rPr>
          <w:color w:val="000000" w:themeColor="text1"/>
        </w:rPr>
      </w:pPr>
      <w:r>
        <w:t>Таким образом, оплата за фактически поставленный товар будет произведена по формуле цены Контракта, но не более максимального значения цены Контракта.</w:t>
      </w:r>
      <w:r>
        <w:rPr>
          <w:rFonts w:ascii="Arial" w:eastAsia="Arial" w:hAnsi="Arial" w:cs="Arial"/>
          <w:color w:val="333333"/>
          <w:sz w:val="23"/>
        </w:rPr>
        <w:t xml:space="preserve"> </w:t>
      </w:r>
      <w:r>
        <w:rPr>
          <w:color w:val="000000" w:themeColor="text1"/>
        </w:rPr>
        <w:t xml:space="preserve">Из письма Минфина России от 28.04.2020 № 24-03-07/34688 «О рассмотрении </w:t>
      </w:r>
      <w:r>
        <w:rPr>
          <w:color w:val="000000" w:themeColor="text1"/>
        </w:rPr>
        <w:lastRenderedPageBreak/>
        <w:t>обращения» следует</w:t>
      </w:r>
      <w:r w:rsidR="00184F6D">
        <w:rPr>
          <w:color w:val="000000" w:themeColor="text1"/>
          <w:highlight w:val="white"/>
        </w:rPr>
        <w:t xml:space="preserve">, что Постановление № </w:t>
      </w:r>
      <w:r>
        <w:rPr>
          <w:color w:val="000000" w:themeColor="text1"/>
          <w:highlight w:val="white"/>
        </w:rPr>
        <w:t>19 не устанавливает какой-либо формулы цены контракта для использования в документации о закупке и заказчик обязан самостоятельно установить подлежащие использованию формулу цены и максимальное значение цены контракта</w:t>
      </w:r>
      <w:r w:rsidR="00184F6D">
        <w:rPr>
          <w:color w:val="000000" w:themeColor="text1"/>
        </w:rPr>
        <w:t>.</w:t>
      </w:r>
    </w:p>
    <w:p w:rsidR="00186E5C" w:rsidRDefault="00CF5FA4">
      <w:pPr>
        <w:ind w:firstLine="709"/>
        <w:jc w:val="both"/>
      </w:pPr>
      <w:r>
        <w:rPr>
          <w:color w:val="000000" w:themeColor="text1"/>
        </w:rPr>
        <w:t>Исходя из изложенного, заказчики устанавливают в формуле показатель объема и показатель цены,</w:t>
      </w:r>
      <w:r>
        <w:t xml:space="preserve"> являющийся отпускной ценой поставщика за единицу поставляемого товара в периоде поставки, которая указывается поставщиком в документе о приемке и не может превышать цену за единицу товара, определяемую по результатам торгов, а в случае несостоявшегося электронного аукциона - не может превышать цену за единицу товара</w:t>
      </w:r>
      <w:r w:rsidR="00184F6D">
        <w:t>,</w:t>
      </w:r>
      <w:r>
        <w:t xml:space="preserve"> определенную при обосновании НМЦК.</w:t>
      </w:r>
    </w:p>
    <w:p w:rsidR="00186E5C" w:rsidRDefault="00186E5C">
      <w:pPr>
        <w:ind w:firstLine="709"/>
        <w:jc w:val="both"/>
      </w:pPr>
    </w:p>
    <w:p w:rsidR="00186E5C" w:rsidRDefault="00186E5C">
      <w:pPr>
        <w:ind w:right="201"/>
        <w:jc w:val="both"/>
        <w:rPr>
          <w:sz w:val="20"/>
          <w:szCs w:val="20"/>
        </w:rPr>
      </w:pPr>
    </w:p>
    <w:sectPr w:rsidR="00186E5C">
      <w:headerReference w:type="default" r:id="rId8"/>
      <w:pgSz w:w="11906" w:h="16838"/>
      <w:pgMar w:top="1134" w:right="567" w:bottom="1134" w:left="1418" w:header="1134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D6" w:rsidRDefault="00B42CD6">
      <w:r>
        <w:separator/>
      </w:r>
    </w:p>
  </w:endnote>
  <w:endnote w:type="continuationSeparator" w:id="0">
    <w:p w:rsidR="00B42CD6" w:rsidRDefault="00B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D6" w:rsidRDefault="00B42CD6">
      <w:r>
        <w:separator/>
      </w:r>
    </w:p>
  </w:footnote>
  <w:footnote w:type="continuationSeparator" w:id="0">
    <w:p w:rsidR="00B42CD6" w:rsidRDefault="00B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5C" w:rsidRDefault="00CF5FA4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114A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186E5C" w:rsidRDefault="00186E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3F53"/>
    <w:multiLevelType w:val="hybridMultilevel"/>
    <w:tmpl w:val="1C9CD53A"/>
    <w:lvl w:ilvl="0" w:tplc="88DAB162">
      <w:start w:val="1"/>
      <w:numFmt w:val="decimal"/>
      <w:lvlText w:val="%1."/>
      <w:lvlJc w:val="left"/>
      <w:pPr>
        <w:ind w:left="1418" w:hanging="360"/>
      </w:pPr>
    </w:lvl>
    <w:lvl w:ilvl="1" w:tplc="9CA638D8">
      <w:start w:val="1"/>
      <w:numFmt w:val="lowerLetter"/>
      <w:lvlText w:val="%2."/>
      <w:lvlJc w:val="left"/>
      <w:pPr>
        <w:ind w:left="2138" w:hanging="360"/>
      </w:pPr>
    </w:lvl>
    <w:lvl w:ilvl="2" w:tplc="41085C38">
      <w:start w:val="1"/>
      <w:numFmt w:val="lowerRoman"/>
      <w:lvlText w:val="%3."/>
      <w:lvlJc w:val="right"/>
      <w:pPr>
        <w:ind w:left="2858" w:hanging="180"/>
      </w:pPr>
    </w:lvl>
    <w:lvl w:ilvl="3" w:tplc="5800617E">
      <w:start w:val="1"/>
      <w:numFmt w:val="decimal"/>
      <w:lvlText w:val="%4."/>
      <w:lvlJc w:val="left"/>
      <w:pPr>
        <w:ind w:left="3578" w:hanging="360"/>
      </w:pPr>
    </w:lvl>
    <w:lvl w:ilvl="4" w:tplc="880479EC">
      <w:start w:val="1"/>
      <w:numFmt w:val="lowerLetter"/>
      <w:lvlText w:val="%5."/>
      <w:lvlJc w:val="left"/>
      <w:pPr>
        <w:ind w:left="4298" w:hanging="360"/>
      </w:pPr>
    </w:lvl>
    <w:lvl w:ilvl="5" w:tplc="F2A8CBDE">
      <w:start w:val="1"/>
      <w:numFmt w:val="lowerRoman"/>
      <w:lvlText w:val="%6."/>
      <w:lvlJc w:val="right"/>
      <w:pPr>
        <w:ind w:left="5018" w:hanging="180"/>
      </w:pPr>
    </w:lvl>
    <w:lvl w:ilvl="6" w:tplc="AF2497C2">
      <w:start w:val="1"/>
      <w:numFmt w:val="decimal"/>
      <w:lvlText w:val="%7."/>
      <w:lvlJc w:val="left"/>
      <w:pPr>
        <w:ind w:left="5738" w:hanging="360"/>
      </w:pPr>
    </w:lvl>
    <w:lvl w:ilvl="7" w:tplc="91722B94">
      <w:start w:val="1"/>
      <w:numFmt w:val="lowerLetter"/>
      <w:lvlText w:val="%8."/>
      <w:lvlJc w:val="left"/>
      <w:pPr>
        <w:ind w:left="6458" w:hanging="360"/>
      </w:pPr>
    </w:lvl>
    <w:lvl w:ilvl="8" w:tplc="2C72902C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30DE76B7"/>
    <w:multiLevelType w:val="hybridMultilevel"/>
    <w:tmpl w:val="17FC6912"/>
    <w:lvl w:ilvl="0" w:tplc="47783ADA">
      <w:start w:val="1"/>
      <w:numFmt w:val="decimal"/>
      <w:lvlText w:val="%1."/>
      <w:lvlJc w:val="left"/>
      <w:pPr>
        <w:ind w:left="1418" w:hanging="360"/>
      </w:pPr>
    </w:lvl>
    <w:lvl w:ilvl="1" w:tplc="08305910">
      <w:start w:val="1"/>
      <w:numFmt w:val="lowerLetter"/>
      <w:lvlText w:val="%2."/>
      <w:lvlJc w:val="left"/>
      <w:pPr>
        <w:ind w:left="2138" w:hanging="360"/>
      </w:pPr>
    </w:lvl>
    <w:lvl w:ilvl="2" w:tplc="278A6720">
      <w:start w:val="1"/>
      <w:numFmt w:val="lowerRoman"/>
      <w:lvlText w:val="%3."/>
      <w:lvlJc w:val="right"/>
      <w:pPr>
        <w:ind w:left="2858" w:hanging="180"/>
      </w:pPr>
    </w:lvl>
    <w:lvl w:ilvl="3" w:tplc="AE0A4782">
      <w:start w:val="1"/>
      <w:numFmt w:val="decimal"/>
      <w:lvlText w:val="%4."/>
      <w:lvlJc w:val="left"/>
      <w:pPr>
        <w:ind w:left="3578" w:hanging="360"/>
      </w:pPr>
    </w:lvl>
    <w:lvl w:ilvl="4" w:tplc="975E7302">
      <w:start w:val="1"/>
      <w:numFmt w:val="lowerLetter"/>
      <w:lvlText w:val="%5."/>
      <w:lvlJc w:val="left"/>
      <w:pPr>
        <w:ind w:left="4298" w:hanging="360"/>
      </w:pPr>
    </w:lvl>
    <w:lvl w:ilvl="5" w:tplc="9F46AD50">
      <w:start w:val="1"/>
      <w:numFmt w:val="lowerRoman"/>
      <w:lvlText w:val="%6."/>
      <w:lvlJc w:val="right"/>
      <w:pPr>
        <w:ind w:left="5018" w:hanging="180"/>
      </w:pPr>
    </w:lvl>
    <w:lvl w:ilvl="6" w:tplc="4922EB64">
      <w:start w:val="1"/>
      <w:numFmt w:val="decimal"/>
      <w:lvlText w:val="%7."/>
      <w:lvlJc w:val="left"/>
      <w:pPr>
        <w:ind w:left="5738" w:hanging="360"/>
      </w:pPr>
    </w:lvl>
    <w:lvl w:ilvl="7" w:tplc="1A20A0D8">
      <w:start w:val="1"/>
      <w:numFmt w:val="lowerLetter"/>
      <w:lvlText w:val="%8."/>
      <w:lvlJc w:val="left"/>
      <w:pPr>
        <w:ind w:left="6458" w:hanging="360"/>
      </w:pPr>
    </w:lvl>
    <w:lvl w:ilvl="8" w:tplc="0004E600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46D0615C"/>
    <w:multiLevelType w:val="hybridMultilevel"/>
    <w:tmpl w:val="B18E0BC4"/>
    <w:lvl w:ilvl="0" w:tplc="9E70DF0E">
      <w:start w:val="1"/>
      <w:numFmt w:val="decimal"/>
      <w:lvlText w:val="%1."/>
      <w:lvlJc w:val="left"/>
      <w:pPr>
        <w:ind w:left="1418" w:hanging="360"/>
      </w:pPr>
    </w:lvl>
    <w:lvl w:ilvl="1" w:tplc="CE925F4C">
      <w:start w:val="1"/>
      <w:numFmt w:val="lowerLetter"/>
      <w:lvlText w:val="%2."/>
      <w:lvlJc w:val="left"/>
      <w:pPr>
        <w:ind w:left="2138" w:hanging="360"/>
      </w:pPr>
    </w:lvl>
    <w:lvl w:ilvl="2" w:tplc="4AAAAB98">
      <w:start w:val="1"/>
      <w:numFmt w:val="lowerRoman"/>
      <w:lvlText w:val="%3."/>
      <w:lvlJc w:val="right"/>
      <w:pPr>
        <w:ind w:left="2858" w:hanging="180"/>
      </w:pPr>
    </w:lvl>
    <w:lvl w:ilvl="3" w:tplc="843A08F6">
      <w:start w:val="1"/>
      <w:numFmt w:val="decimal"/>
      <w:lvlText w:val="%4."/>
      <w:lvlJc w:val="left"/>
      <w:pPr>
        <w:ind w:left="3578" w:hanging="360"/>
      </w:pPr>
    </w:lvl>
    <w:lvl w:ilvl="4" w:tplc="0C5A428A">
      <w:start w:val="1"/>
      <w:numFmt w:val="lowerLetter"/>
      <w:lvlText w:val="%5."/>
      <w:lvlJc w:val="left"/>
      <w:pPr>
        <w:ind w:left="4298" w:hanging="360"/>
      </w:pPr>
    </w:lvl>
    <w:lvl w:ilvl="5" w:tplc="13C833C6">
      <w:start w:val="1"/>
      <w:numFmt w:val="lowerRoman"/>
      <w:lvlText w:val="%6."/>
      <w:lvlJc w:val="right"/>
      <w:pPr>
        <w:ind w:left="5018" w:hanging="180"/>
      </w:pPr>
    </w:lvl>
    <w:lvl w:ilvl="6" w:tplc="A986F3E6">
      <w:start w:val="1"/>
      <w:numFmt w:val="decimal"/>
      <w:lvlText w:val="%7."/>
      <w:lvlJc w:val="left"/>
      <w:pPr>
        <w:ind w:left="5738" w:hanging="360"/>
      </w:pPr>
    </w:lvl>
    <w:lvl w:ilvl="7" w:tplc="707CAB06">
      <w:start w:val="1"/>
      <w:numFmt w:val="lowerLetter"/>
      <w:lvlText w:val="%8."/>
      <w:lvlJc w:val="left"/>
      <w:pPr>
        <w:ind w:left="6458" w:hanging="360"/>
      </w:pPr>
    </w:lvl>
    <w:lvl w:ilvl="8" w:tplc="7F2E7272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53CD18F1"/>
    <w:multiLevelType w:val="hybridMultilevel"/>
    <w:tmpl w:val="F8D6B694"/>
    <w:lvl w:ilvl="0" w:tplc="D090A4AE">
      <w:start w:val="1"/>
      <w:numFmt w:val="decimal"/>
      <w:lvlText w:val="%1."/>
      <w:lvlJc w:val="left"/>
      <w:pPr>
        <w:ind w:left="1418" w:hanging="360"/>
      </w:pPr>
    </w:lvl>
    <w:lvl w:ilvl="1" w:tplc="295E41C8">
      <w:start w:val="1"/>
      <w:numFmt w:val="lowerLetter"/>
      <w:lvlText w:val="%2."/>
      <w:lvlJc w:val="left"/>
      <w:pPr>
        <w:ind w:left="2138" w:hanging="360"/>
      </w:pPr>
    </w:lvl>
    <w:lvl w:ilvl="2" w:tplc="EC7A8AA4">
      <w:start w:val="1"/>
      <w:numFmt w:val="lowerRoman"/>
      <w:lvlText w:val="%3."/>
      <w:lvlJc w:val="right"/>
      <w:pPr>
        <w:ind w:left="2858" w:hanging="180"/>
      </w:pPr>
    </w:lvl>
    <w:lvl w:ilvl="3" w:tplc="2C1C9F46">
      <w:start w:val="1"/>
      <w:numFmt w:val="decimal"/>
      <w:lvlText w:val="%4."/>
      <w:lvlJc w:val="left"/>
      <w:pPr>
        <w:ind w:left="3578" w:hanging="360"/>
      </w:pPr>
    </w:lvl>
    <w:lvl w:ilvl="4" w:tplc="C36A2C58">
      <w:start w:val="1"/>
      <w:numFmt w:val="lowerLetter"/>
      <w:lvlText w:val="%5."/>
      <w:lvlJc w:val="left"/>
      <w:pPr>
        <w:ind w:left="4298" w:hanging="360"/>
      </w:pPr>
    </w:lvl>
    <w:lvl w:ilvl="5" w:tplc="86A28CF8">
      <w:start w:val="1"/>
      <w:numFmt w:val="lowerRoman"/>
      <w:lvlText w:val="%6."/>
      <w:lvlJc w:val="right"/>
      <w:pPr>
        <w:ind w:left="5018" w:hanging="180"/>
      </w:pPr>
    </w:lvl>
    <w:lvl w:ilvl="6" w:tplc="9C12F40E">
      <w:start w:val="1"/>
      <w:numFmt w:val="decimal"/>
      <w:lvlText w:val="%7."/>
      <w:lvlJc w:val="left"/>
      <w:pPr>
        <w:ind w:left="5738" w:hanging="360"/>
      </w:pPr>
    </w:lvl>
    <w:lvl w:ilvl="7" w:tplc="57106990">
      <w:start w:val="1"/>
      <w:numFmt w:val="lowerLetter"/>
      <w:lvlText w:val="%8."/>
      <w:lvlJc w:val="left"/>
      <w:pPr>
        <w:ind w:left="6458" w:hanging="360"/>
      </w:pPr>
    </w:lvl>
    <w:lvl w:ilvl="8" w:tplc="56F210B6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7E5F4CBE"/>
    <w:multiLevelType w:val="hybridMultilevel"/>
    <w:tmpl w:val="D0980154"/>
    <w:lvl w:ilvl="0" w:tplc="3CFE5EE6">
      <w:start w:val="1"/>
      <w:numFmt w:val="decimal"/>
      <w:lvlText w:val="%1."/>
      <w:lvlJc w:val="left"/>
      <w:pPr>
        <w:ind w:left="709" w:hanging="360"/>
      </w:pPr>
    </w:lvl>
    <w:lvl w:ilvl="1" w:tplc="074AEAF0">
      <w:start w:val="1"/>
      <w:numFmt w:val="lowerLetter"/>
      <w:lvlText w:val="%2."/>
      <w:lvlJc w:val="left"/>
      <w:pPr>
        <w:ind w:left="1429" w:hanging="360"/>
      </w:pPr>
    </w:lvl>
    <w:lvl w:ilvl="2" w:tplc="9A60BB0E">
      <w:start w:val="1"/>
      <w:numFmt w:val="lowerRoman"/>
      <w:lvlText w:val="%3."/>
      <w:lvlJc w:val="right"/>
      <w:pPr>
        <w:ind w:left="2149" w:hanging="180"/>
      </w:pPr>
    </w:lvl>
    <w:lvl w:ilvl="3" w:tplc="816C6E76">
      <w:start w:val="1"/>
      <w:numFmt w:val="decimal"/>
      <w:lvlText w:val="%4."/>
      <w:lvlJc w:val="left"/>
      <w:pPr>
        <w:ind w:left="2869" w:hanging="360"/>
      </w:pPr>
    </w:lvl>
    <w:lvl w:ilvl="4" w:tplc="076E4BB8">
      <w:start w:val="1"/>
      <w:numFmt w:val="lowerLetter"/>
      <w:lvlText w:val="%5."/>
      <w:lvlJc w:val="left"/>
      <w:pPr>
        <w:ind w:left="3589" w:hanging="360"/>
      </w:pPr>
    </w:lvl>
    <w:lvl w:ilvl="5" w:tplc="69463510">
      <w:start w:val="1"/>
      <w:numFmt w:val="lowerRoman"/>
      <w:lvlText w:val="%6."/>
      <w:lvlJc w:val="right"/>
      <w:pPr>
        <w:ind w:left="4309" w:hanging="180"/>
      </w:pPr>
    </w:lvl>
    <w:lvl w:ilvl="6" w:tplc="FFF04DD2">
      <w:start w:val="1"/>
      <w:numFmt w:val="decimal"/>
      <w:lvlText w:val="%7."/>
      <w:lvlJc w:val="left"/>
      <w:pPr>
        <w:ind w:left="5029" w:hanging="360"/>
      </w:pPr>
    </w:lvl>
    <w:lvl w:ilvl="7" w:tplc="095A13EE">
      <w:start w:val="1"/>
      <w:numFmt w:val="lowerLetter"/>
      <w:lvlText w:val="%8."/>
      <w:lvlJc w:val="left"/>
      <w:pPr>
        <w:ind w:left="5749" w:hanging="360"/>
      </w:pPr>
    </w:lvl>
    <w:lvl w:ilvl="8" w:tplc="EBF84DD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5C"/>
    <w:rsid w:val="00184F6D"/>
    <w:rsid w:val="00185FAC"/>
    <w:rsid w:val="00186E5C"/>
    <w:rsid w:val="00696556"/>
    <w:rsid w:val="00941531"/>
    <w:rsid w:val="00A45A03"/>
    <w:rsid w:val="00B42CD6"/>
    <w:rsid w:val="00C77327"/>
    <w:rsid w:val="00CC6BB7"/>
    <w:rsid w:val="00CF5FA4"/>
    <w:rsid w:val="00D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FBFC8-0736-43C6-A93A-1EE9BDE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link w:val="12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styleId="afc">
    <w:name w:val="Body Text"/>
    <w:basedOn w:val="a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rPr>
      <w:sz w:val="28"/>
      <w:szCs w:val="28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/>
      <w:color w:val="000000"/>
      <w:sz w:val="24"/>
      <w:lang w:eastAsia="ru-RU"/>
    </w:rPr>
  </w:style>
  <w:style w:type="paragraph" w:customStyle="1" w:styleId="12">
    <w:name w:val="Верхний колонтитул1"/>
    <w:link w:val="a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onomy.gov.ru/material/directions/makroec/prognozy_socialno_ekonomicheskogo_razvitiya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Кухаева Наталья Александровна</cp:lastModifiedBy>
  <cp:revision>2</cp:revision>
  <dcterms:created xsi:type="dcterms:W3CDTF">2025-06-16T09:42:00Z</dcterms:created>
  <dcterms:modified xsi:type="dcterms:W3CDTF">2025-06-16T09:42:00Z</dcterms:modified>
  <cp:version>1048576</cp:version>
</cp:coreProperties>
</file>