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483" w:rsidRDefault="00C24483" w:rsidP="00C24483">
      <w:pPr>
        <w:ind w:left="5663"/>
        <w:jc w:val="both"/>
        <w:rPr>
          <w:rFonts w:eastAsia="Calibri"/>
          <w:lang w:eastAsia="en-US"/>
        </w:rPr>
      </w:pPr>
      <w:bookmarkStart w:id="0" w:name="_GoBack"/>
      <w:bookmarkEnd w:id="0"/>
      <w:r>
        <w:rPr>
          <w:rFonts w:eastAsia="Calibri"/>
          <w:lang w:eastAsia="en-US"/>
        </w:rPr>
        <w:t>от 12.02.2025 № 0</w:t>
      </w:r>
      <w:r w:rsidRPr="00C24483">
        <w:rPr>
          <w:rFonts w:eastAsia="Calibri"/>
          <w:lang w:eastAsia="en-US"/>
        </w:rPr>
        <w:t>2-10/149/39-Вн</w:t>
      </w:r>
    </w:p>
    <w:p w:rsidR="00C24483" w:rsidRDefault="00C24483">
      <w:pPr>
        <w:ind w:firstLine="709"/>
        <w:jc w:val="both"/>
        <w:rPr>
          <w:rFonts w:eastAsia="Calibri"/>
          <w:lang w:eastAsia="en-US"/>
        </w:rPr>
      </w:pPr>
    </w:p>
    <w:p w:rsidR="00C24483" w:rsidRPr="00C24483" w:rsidRDefault="00C24483" w:rsidP="00C24483">
      <w:pPr>
        <w:ind w:firstLine="709"/>
        <w:jc w:val="center"/>
        <w:rPr>
          <w:rFonts w:eastAsia="Calibri"/>
          <w:b/>
          <w:lang w:eastAsia="en-US"/>
        </w:rPr>
      </w:pPr>
      <w:r w:rsidRPr="00C24483">
        <w:rPr>
          <w:rFonts w:eastAsia="Calibri"/>
          <w:b/>
          <w:lang w:eastAsia="en-US"/>
        </w:rPr>
        <w:t>О практическом примене</w:t>
      </w:r>
      <w:r>
        <w:rPr>
          <w:rFonts w:eastAsia="Calibri"/>
          <w:b/>
          <w:lang w:eastAsia="en-US"/>
        </w:rPr>
        <w:t xml:space="preserve">нии Постановления Правительства </w:t>
      </w:r>
      <w:r w:rsidRPr="00C24483">
        <w:rPr>
          <w:rFonts w:eastAsia="Calibri"/>
          <w:b/>
          <w:lang w:eastAsia="en-US"/>
        </w:rPr>
        <w:t>Российской</w:t>
      </w:r>
      <w:r>
        <w:rPr>
          <w:rFonts w:eastAsia="Calibri"/>
          <w:b/>
          <w:lang w:eastAsia="en-US"/>
        </w:rPr>
        <w:t xml:space="preserve"> </w:t>
      </w:r>
      <w:r w:rsidRPr="00C24483">
        <w:rPr>
          <w:rFonts w:eastAsia="Calibri"/>
          <w:b/>
          <w:lang w:eastAsia="en-US"/>
        </w:rPr>
        <w:t>Федерации от 23.12.2024 № 1875 «О мерах по предоставлению национального</w:t>
      </w:r>
      <w:r>
        <w:rPr>
          <w:rFonts w:eastAsia="Calibri"/>
          <w:b/>
          <w:lang w:eastAsia="en-US"/>
        </w:rPr>
        <w:t xml:space="preserve"> </w:t>
      </w:r>
      <w:r w:rsidRPr="00C24483">
        <w:rPr>
          <w:rFonts w:eastAsia="Calibri"/>
          <w:b/>
          <w:lang w:eastAsia="en-US"/>
        </w:rPr>
        <w:t>режима при осуществлении закупок товаров, работ, услуг для обеспечения</w:t>
      </w:r>
      <w:r>
        <w:rPr>
          <w:rFonts w:eastAsia="Calibri"/>
          <w:b/>
          <w:lang w:eastAsia="en-US"/>
        </w:rPr>
        <w:t xml:space="preserve"> </w:t>
      </w:r>
      <w:r w:rsidRPr="00C24483">
        <w:rPr>
          <w:rFonts w:eastAsia="Calibri"/>
          <w:b/>
          <w:lang w:eastAsia="en-US"/>
        </w:rPr>
        <w:t>государственных и муниципальных нужд, закупок товаров, работ, услуг</w:t>
      </w:r>
      <w:r>
        <w:rPr>
          <w:rFonts w:eastAsia="Calibri"/>
          <w:b/>
          <w:lang w:eastAsia="en-US"/>
        </w:rPr>
        <w:t xml:space="preserve"> </w:t>
      </w:r>
      <w:r w:rsidRPr="00C24483">
        <w:rPr>
          <w:rFonts w:eastAsia="Calibri"/>
          <w:b/>
          <w:lang w:eastAsia="en-US"/>
        </w:rPr>
        <w:t>отдельными видами юридических лиц»</w:t>
      </w:r>
    </w:p>
    <w:p w:rsidR="00C24483" w:rsidRDefault="00C24483">
      <w:pPr>
        <w:ind w:firstLine="709"/>
        <w:jc w:val="both"/>
        <w:rPr>
          <w:rFonts w:eastAsia="Calibri"/>
          <w:lang w:eastAsia="en-US"/>
        </w:rPr>
      </w:pPr>
    </w:p>
    <w:p w:rsidR="008B01F7" w:rsidRDefault="00732175">
      <w:pPr>
        <w:ind w:firstLine="709"/>
        <w:jc w:val="both"/>
        <w:rPr>
          <w:rFonts w:eastAsia="Calibri"/>
        </w:rPr>
      </w:pPr>
      <w:r>
        <w:rPr>
          <w:rFonts w:eastAsia="Calibri"/>
          <w:lang w:eastAsia="en-US"/>
        </w:rPr>
        <w:t xml:space="preserve">Контрольное управление Новосибирской области действующими нормативными правовыми актами Новосибирской области не наделено полномочиями по официальному разъяснению и толкованию </w:t>
      </w:r>
      <w:r>
        <w:t>законодательства Российской Федерации, в том числе</w:t>
      </w:r>
      <w:r>
        <w:rPr>
          <w:rFonts w:eastAsia="Calibri"/>
          <w:lang w:eastAsia="en-US"/>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rsidR="008B01F7" w:rsidRDefault="00732175">
      <w:pPr>
        <w:ind w:firstLine="709"/>
        <w:jc w:val="both"/>
      </w:pPr>
      <w:r>
        <w:rPr>
          <w:rFonts w:eastAsia="Calibri"/>
          <w:lang w:eastAsia="en-US"/>
        </w:rPr>
        <w:t>Однако, считаем возможным выразить свое мнение относительно</w:t>
      </w:r>
      <w:r>
        <w:t xml:space="preserve"> Вашего обращения в части практического применения постановления Правительства Российской Федерации от 23.12.2024 № 1875 «О мерах по предоставлению национального режима при осуществления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Постановление № 1875). </w:t>
      </w:r>
    </w:p>
    <w:p w:rsidR="008B01F7" w:rsidRDefault="00732175">
      <w:pPr>
        <w:ind w:firstLine="709"/>
        <w:jc w:val="both"/>
      </w:pPr>
      <w:r>
        <w:rPr>
          <w:b/>
        </w:rPr>
        <w:t>По вопросу 1.</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Учитывая положения пункта 1 части 4 статьи 14 Федерального закона № 44-ФЗ запрет по Постановлению № 1875 применяется при проведении всех способов определения поставщика, в том числе при закупке у единственного поставщика.</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 xml:space="preserve">В соответствии с положениями пунктов 2, 3 части 4 статьи 14 Федерального закона № 44-ФЗ, предусмотренные </w:t>
      </w:r>
      <w:r>
        <w:t>Постановлением</w:t>
      </w:r>
      <w:r>
        <w:rPr>
          <w:color w:val="000000" w:themeColor="text1"/>
        </w:rPr>
        <w:t xml:space="preserve"> № 1875 ограничения, преимущества применяются при проведении конкурентных способов определения поставщика, а также при осуществлении закупки, предусмотренной частью 12 статьи 93 Федерального закона № 44-ФЗ.</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 xml:space="preserve">На основании изложенного, если закупаемые планшеты находятся в приложении № 2, значит установленные ограничения в соответствии с </w:t>
      </w:r>
      <w:r>
        <w:t xml:space="preserve">Постановлением </w:t>
      </w:r>
      <w:r>
        <w:rPr>
          <w:color w:val="000000" w:themeColor="text1"/>
        </w:rPr>
        <w:t>№ 1875 не применяются к закупке по пункту 4 части 1 статьи 93 Федерального закона № 44-ФЗ.</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 xml:space="preserve">Подпунктом «в» пункта 7 </w:t>
      </w:r>
      <w:r>
        <w:t>Постановления</w:t>
      </w:r>
      <w:r>
        <w:rPr>
          <w:color w:val="000000" w:themeColor="text1"/>
        </w:rPr>
        <w:t xml:space="preserve"> № 1875 установлены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начальной цены единицы работы, услуги для осуществления закупки, объект закупки которой включает товары, указанные в приложении № 1 и приложении № 2  </w:t>
      </w:r>
      <w:r>
        <w:t>Постановления</w:t>
      </w:r>
      <w:r>
        <w:rPr>
          <w:color w:val="000000" w:themeColor="text1"/>
        </w:rPr>
        <w:t xml:space="preserve"> № 1875.</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 xml:space="preserve">В силу части 4 статьи 93 Федерального закона № 44-ФЗ при осуществлении закупки у единственного поставщика (подрядчика, исполнителя) заказчик определяет цену контракта в соответствии с Федеральным законом № 44-ФЗ. Следовательно, особенности, установленные Постановлением № 1875, </w:t>
      </w:r>
      <w:r>
        <w:rPr>
          <w:color w:val="000000" w:themeColor="text1"/>
        </w:rPr>
        <w:lastRenderedPageBreak/>
        <w:t>применяются и к закупкам у единственного поставщика, в том числе по пункту 4 части 1 статьи 93 Федерального закона № 44-ФЗ.</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Указанная позиция подтверждается в письме Минфина России от 31.01.2025 № 24-01-06/8697.</w:t>
      </w:r>
    </w:p>
    <w:p w:rsidR="008B01F7" w:rsidRDefault="00732175">
      <w:pPr>
        <w:ind w:firstLine="709"/>
        <w:jc w:val="both"/>
      </w:pPr>
      <w:r>
        <w:rPr>
          <w:b/>
        </w:rPr>
        <w:t>По вопросу 2.</w:t>
      </w:r>
    </w:p>
    <w:p w:rsidR="008B01F7" w:rsidRDefault="00732175">
      <w:pPr>
        <w:ind w:firstLine="709"/>
        <w:jc w:val="both"/>
      </w:pPr>
      <w:r>
        <w:t>В соответствии с подпунктом «г» пункта 7 Постановления № 1875 особенности, предусмотренные подпунктом «в» пункта 7 Постановления № 1875, не применяются при наступлении следующего случая – если при осуществлении закупки товара заказчиком в случаях, п</w:t>
      </w:r>
      <w:r>
        <w:rPr>
          <w:color w:val="000000" w:themeColor="text1"/>
        </w:rPr>
        <w:t xml:space="preserve">редусмотренных </w:t>
      </w:r>
      <w:hyperlink w:history="1">
        <w:r>
          <w:rPr>
            <w:color w:val="000000" w:themeColor="text1"/>
          </w:rPr>
          <w:t>пунктом 5</w:t>
        </w:r>
      </w:hyperlink>
      <w:r>
        <w:rPr>
          <w:color w:val="000000" w:themeColor="text1"/>
        </w:rPr>
        <w:t xml:space="preserve"> настоящего постановления, не применяется запрет, предусмотренный </w:t>
      </w:r>
      <w:hyperlink w:history="1">
        <w:r>
          <w:rPr>
            <w:color w:val="000000" w:themeColor="text1"/>
          </w:rPr>
          <w:t>пунктом 1</w:t>
        </w:r>
      </w:hyperlink>
      <w:r>
        <w:rPr>
          <w:color w:val="000000" w:themeColor="text1"/>
        </w:rPr>
        <w:t xml:space="preserve"> настоящего постановления</w:t>
      </w:r>
      <w:r>
        <w:t xml:space="preserve"> согласно приложения № 1.</w:t>
      </w:r>
    </w:p>
    <w:p w:rsidR="008B01F7" w:rsidRDefault="00732175">
      <w:pPr>
        <w:ind w:firstLine="709"/>
        <w:jc w:val="both"/>
      </w:pPr>
      <w:r>
        <w:t>Указанное исключение относится только к запретам.</w:t>
      </w:r>
    </w:p>
    <w:p w:rsidR="008B01F7" w:rsidRDefault="00732175">
      <w:pPr>
        <w:ind w:firstLine="709"/>
        <w:jc w:val="both"/>
      </w:pPr>
      <w:r>
        <w:rPr>
          <w:b/>
        </w:rPr>
        <w:t>По вопросу 3.</w:t>
      </w:r>
    </w:p>
    <w:p w:rsidR="008B01F7" w:rsidRDefault="00732175">
      <w:pPr>
        <w:ind w:firstLine="709"/>
        <w:jc w:val="both"/>
        <w:rPr>
          <w:color w:val="000000" w:themeColor="text1"/>
        </w:rPr>
      </w:pPr>
      <w:r>
        <w:t>Абзацем 11 подпункта «г» пункта 4 Постановления № 1875 установлено, что при осуществлении закупок в соответствии с Федераль</w:t>
      </w:r>
      <w:r>
        <w:rPr>
          <w:color w:val="000000" w:themeColor="text1"/>
        </w:rPr>
        <w:t xml:space="preserve">ным </w:t>
      </w:r>
      <w:hyperlink r:id="rId7" w:tooltip="https://login.consultant.ru/link/?req=doc&amp;base=LAW&amp;n=466154" w:history="1">
        <w:r>
          <w:rPr>
            <w:color w:val="000000" w:themeColor="text1"/>
          </w:rPr>
          <w:t>законом</w:t>
        </w:r>
      </w:hyperlink>
      <w:r>
        <w:rPr>
          <w:color w:val="000000" w:themeColor="text1"/>
        </w:rPr>
        <w:t xml:space="preserve"> «О контрактной системе в сфере закупок товаров, работ, услуг для обеспечения государственных и муниципальных нужд», Федеральным </w:t>
      </w:r>
      <w:hyperlink r:id="rId8" w:tooltip="https://login.consultant.ru/link/?req=doc&amp;base=LAW&amp;n=483052" w:history="1">
        <w:r>
          <w:rPr>
            <w:color w:val="000000" w:themeColor="text1"/>
          </w:rPr>
          <w:t>законом</w:t>
        </w:r>
      </w:hyperlink>
      <w:r>
        <w:rPr>
          <w:color w:val="000000" w:themeColor="text1"/>
        </w:rPr>
        <w:t xml:space="preserve"> «О закупках товаров, работ, услуг отдельными видами юридических лиц», за исключением закупок у единственного поставщика (подрядчика, исполнителя) и закупок у единственного поставщика (исполнителя, подрядчика) соответственно, не могут быть включены в предмет одного контракта (одного лота), одного договора (одн</w:t>
      </w:r>
      <w:r>
        <w:t>ого лота): м</w:t>
      </w:r>
      <w:r>
        <w:rPr>
          <w:color w:val="000000" w:themeColor="text1"/>
        </w:rPr>
        <w:t xml:space="preserve">икрофоны и подставки для них, соответствующие коду </w:t>
      </w:r>
      <w:hyperlink r:id="rId9" w:tooltip="https://login.consultant.ru/link/?req=doc&amp;base=LAW&amp;n=496773&amp;dst=119473" w:history="1">
        <w:r>
          <w:rPr>
            <w:color w:val="000000" w:themeColor="text1"/>
          </w:rPr>
          <w:t>26.40.41.000</w:t>
        </w:r>
      </w:hyperlink>
      <w:r>
        <w:rPr>
          <w:color w:val="000000" w:themeColor="text1"/>
        </w:rPr>
        <w:t xml:space="preserve"> по Общероссийскому классификатору продукции по видам экономической деятельности ОК 034-2014 (КПЕС 2008), из числа товаров, указанных в </w:t>
      </w:r>
      <w:hyperlink w:history="1">
        <w:r>
          <w:rPr>
            <w:color w:val="000000" w:themeColor="text1"/>
          </w:rPr>
          <w:t>позиции 241</w:t>
        </w:r>
      </w:hyperlink>
      <w:r>
        <w:rPr>
          <w:color w:val="000000" w:themeColor="text1"/>
        </w:rPr>
        <w:t xml:space="preserve"> приложения № 2 к настоящему постановлению, с другими товарами.</w:t>
      </w:r>
    </w:p>
    <w:p w:rsidR="008B01F7" w:rsidRDefault="00732175">
      <w:pPr>
        <w:ind w:firstLine="709"/>
        <w:jc w:val="both"/>
      </w:pPr>
      <w:r>
        <w:rPr>
          <w:b/>
        </w:rPr>
        <w:t>По вопросу 4.</w:t>
      </w:r>
    </w:p>
    <w:p w:rsidR="008B01F7" w:rsidRDefault="00732175">
      <w:pPr>
        <w:ind w:firstLine="709"/>
        <w:jc w:val="both"/>
      </w:pPr>
      <w:bookmarkStart w:id="1" w:name="undefined"/>
      <w:bookmarkEnd w:id="1"/>
      <w:r>
        <w:t>Учитывая положения пункта 1 части 4 статьи 14 Федерального закона № 44-ФЗ, запрет по Постановлению № 1875 применяется при проведении всех способов определения поставщика, в том числе при закупке у единственного поставщика.</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В соответствии с </w:t>
      </w:r>
      <w:hyperlink r:id="rId10" w:tooltip="https://login.consultant.ru/link/?req=doc&amp;base=LAW&amp;n=466154&amp;dst=101268" w:history="1">
        <w:r>
          <w:rPr>
            <w:rStyle w:val="af1"/>
            <w:color w:val="000000" w:themeColor="text1"/>
            <w:u w:val="none"/>
          </w:rPr>
          <w:t>пунктом 11 части 1 статьи 93</w:t>
        </w:r>
      </w:hyperlink>
      <w:r>
        <w:rPr>
          <w:color w:val="000000" w:themeColor="text1"/>
        </w:rPr>
        <w:t> </w:t>
      </w:r>
      <w:r>
        <w:t>Федерального закона № 44-ФЗ</w:t>
      </w:r>
      <w:r>
        <w:rPr>
          <w:color w:val="000000" w:themeColor="text1"/>
        </w:rPr>
        <w:t xml:space="preserve"> закупка у единственного поставщика (подрядчика, исполнителя) может осуществляться заказчиком в случае если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Указанный </w:t>
      </w:r>
      <w:hyperlink r:id="rId11" w:tooltip="https://login.consultant.ru/link/?req=doc&amp;base=LAW&amp;n=385583&amp;dst=2" w:history="1">
        <w:r>
          <w:rPr>
            <w:rStyle w:val="af1"/>
            <w:color w:val="000000" w:themeColor="text1"/>
            <w:u w:val="none"/>
          </w:rPr>
          <w:t>перечень</w:t>
        </w:r>
      </w:hyperlink>
      <w:r>
        <w:rPr>
          <w:color w:val="000000" w:themeColor="text1"/>
        </w:rPr>
        <w:t> утвержден постановлением Правительства Российской Федерации от 26.12.2013 № 1292 «Об утверждении перечня товаров (работ, услуг), производимых (выполняемых, оказываемых) учреждениями и предприятиями уголовно-исполнительной системы, закупка которых может осуществляться заказчиком у единственного поставщика (подрядчика, исполнителя)».</w:t>
      </w:r>
    </w:p>
    <w:p w:rsidR="008B01F7" w:rsidRDefault="00732175">
      <w:pPr>
        <w:pBdr>
          <w:top w:val="none" w:sz="4" w:space="0" w:color="000000"/>
          <w:left w:val="none" w:sz="4" w:space="0" w:color="000000"/>
          <w:bottom w:val="none" w:sz="4" w:space="0" w:color="000000"/>
          <w:right w:val="none" w:sz="4" w:space="0" w:color="000000"/>
        </w:pBdr>
        <w:shd w:val="clear" w:color="FFFFFF" w:fill="FFFFFF"/>
        <w:ind w:firstLine="709"/>
        <w:jc w:val="both"/>
        <w:rPr>
          <w:color w:val="000000" w:themeColor="text1"/>
        </w:rPr>
      </w:pPr>
      <w:r>
        <w:rPr>
          <w:color w:val="000000" w:themeColor="text1"/>
        </w:rPr>
        <w:t> </w:t>
      </w:r>
      <w:r>
        <w:t xml:space="preserve">Подпунктом «в» пункта 7 Постановления № 1875 установлены особенности определения начальной (максимальной) цены контракта, цены контракта, заключаемого с единственным поставщиком (подрядчиком, исполнителем), </w:t>
      </w:r>
      <w:r>
        <w:lastRenderedPageBreak/>
        <w:t>начальной цены единицы товара (в том числе товаров, поставляемых при выполнении закупаемых работ, оказании закупаемых услуг), начальной цены единицы работы, услуги для осуществления закупки, объект закупки которой включает товары, указанные в приложении № 1 и приложении № 2 к Постановлению № 1875.</w:t>
      </w:r>
    </w:p>
    <w:p w:rsidR="008B01F7" w:rsidRDefault="00732175">
      <w:pPr>
        <w:ind w:firstLine="709"/>
        <w:jc w:val="both"/>
      </w:pPr>
      <w:r>
        <w:t>Следовательно, заключение контракта по пункту 11 части 1 статьи 93 Федерального закона № 44-ФЗ не является исключением по определению цены контракта, заключаемого с единственным поставщиком, с учетом особенностей Постановления № 1875.</w:t>
      </w:r>
    </w:p>
    <w:p w:rsidR="008B01F7" w:rsidRDefault="00732175">
      <w:pPr>
        <w:ind w:firstLine="709"/>
        <w:jc w:val="both"/>
      </w:pPr>
      <w:r>
        <w:rPr>
          <w:b/>
        </w:rPr>
        <w:t>По вопросу 5.</w:t>
      </w:r>
    </w:p>
    <w:p w:rsidR="008B01F7" w:rsidRDefault="00732175">
      <w:pPr>
        <w:spacing w:line="228" w:lineRule="auto"/>
        <w:ind w:firstLine="709"/>
        <w:jc w:val="both"/>
      </w:pPr>
      <w:r>
        <w:t>Реестр российской промышленной продукции (далее - РПП), и каталог продукции  входят в государственную информационную систему продукции (далее – ГИСП) и содержат сведения о промышленных товарах.</w:t>
      </w:r>
    </w:p>
    <w:p w:rsidR="008B01F7" w:rsidRDefault="00732175">
      <w:pPr>
        <w:spacing w:line="228" w:lineRule="auto"/>
        <w:ind w:firstLine="709"/>
        <w:jc w:val="both"/>
      </w:pPr>
      <w:r>
        <w:t xml:space="preserve"> При этом это два разных информационных продукта. Не вся промышленная продукция, которая размещена в каталоге ГИСП, может быть включена в реестр РПП. </w:t>
      </w:r>
    </w:p>
    <w:p w:rsidR="008B01F7" w:rsidRDefault="00732175">
      <w:pPr>
        <w:spacing w:line="228" w:lineRule="auto"/>
        <w:ind w:firstLine="709"/>
        <w:jc w:val="both"/>
      </w:pPr>
      <w:r>
        <w:t>Основанием для внесения в реестр РПП, произведенной на территории Российской Федерации информации о промышленной продукции является наличие заключения Министерства промышленности и торговли Российской Федерации о подтверждении производства промышленной продукции на территории Российской Федерации, выдаваемого в соответствии с постановлением Правительства Российской Федерации от 17.07.2015 № 719 «О подтверждении производства промышленной продукции на территории Российской Федерации» (далее - Постановление № 719).</w:t>
      </w:r>
    </w:p>
    <w:p w:rsidR="008B01F7" w:rsidRDefault="00732175">
      <w:pPr>
        <w:spacing w:line="228" w:lineRule="auto"/>
        <w:ind w:firstLine="709"/>
        <w:jc w:val="both"/>
      </w:pPr>
      <w:r>
        <w:t>В свою очередь, в соответствии с абзацем 8 пункта 2 Правил выдачи заключения, утвержденных постановлением № 719 (далее - Правила), каталогом продукции ГИСП является систематизированный перечень промышленной продукции, сформированный на основе Общероссийского классификатора продукции по видам экономической деятельности ОК 034-2014 и включающий в себя информацию в соответствии с Правилами № 719 и Правилами формирования и ведения в единой информационной системе в сфере закупок каталога товаров, работ, услуг для обеспечения государственных и муниципальных нужд, утвержденными постановлением Правительства Российской Федерации от 8 февраля 2017 г. № 145 (далее - каталог ГИСП).</w:t>
      </w:r>
    </w:p>
    <w:p w:rsidR="008B01F7" w:rsidRDefault="00732175">
      <w:pPr>
        <w:spacing w:line="228" w:lineRule="auto"/>
        <w:ind w:firstLine="709"/>
        <w:jc w:val="both"/>
      </w:pPr>
      <w:r>
        <w:t>Опубликование промышленной продукции (товара) в каталоге ГИСП осуществляется на основании данных, представляемых субъектами деятельности в сфере промышленности для целей соответствия положениям постановления Правительства Российской Федерации от 21.12.2017 № 1604.</w:t>
      </w:r>
    </w:p>
    <w:p w:rsidR="008B01F7" w:rsidRDefault="00732175">
      <w:pPr>
        <w:ind w:firstLine="709"/>
        <w:jc w:val="both"/>
        <w:rPr>
          <w:color w:val="000000" w:themeColor="text1"/>
        </w:rPr>
      </w:pPr>
      <w:r>
        <w:rPr>
          <w:color w:val="000000" w:themeColor="text1"/>
        </w:rPr>
        <w:t xml:space="preserve">«Каталог продукции», «Реестр российской промышленной продукции», «Единый реестр российской радиоэлектронной продукции», «Единый реестр российской радиоэлектронной продукции» (сервис реализации ПП РФ № 719) являются частью ГИСП. </w:t>
      </w:r>
    </w:p>
    <w:p w:rsidR="008B01F7" w:rsidRDefault="00732175">
      <w:pPr>
        <w:ind w:firstLine="709"/>
        <w:jc w:val="both"/>
        <w:rPr>
          <w:color w:val="000000" w:themeColor="text1"/>
        </w:rPr>
      </w:pPr>
      <w:r>
        <w:rPr>
          <w:color w:val="000000" w:themeColor="text1"/>
        </w:rPr>
        <w:t xml:space="preserve">Для оценки ценовой информации заказчиком используются сервисы ГИСП  исходя из наименования предмета закупаемого товара.  </w:t>
      </w:r>
    </w:p>
    <w:p w:rsidR="008B01F7" w:rsidRDefault="008B01F7">
      <w:pPr>
        <w:ind w:right="201"/>
        <w:jc w:val="both"/>
        <w:rPr>
          <w:sz w:val="20"/>
          <w:szCs w:val="20"/>
        </w:rPr>
      </w:pPr>
    </w:p>
    <w:sectPr w:rsidR="008B01F7">
      <w:headerReference w:type="default" r:id="rId12"/>
      <w:pgSz w:w="11906" w:h="16838"/>
      <w:pgMar w:top="1134" w:right="567" w:bottom="1134" w:left="1418" w:header="1134" w:footer="782"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724D" w:rsidRDefault="0069724D">
      <w:r>
        <w:separator/>
      </w:r>
    </w:p>
  </w:endnote>
  <w:endnote w:type="continuationSeparator" w:id="0">
    <w:p w:rsidR="0069724D" w:rsidRDefault="006972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724D" w:rsidRDefault="0069724D">
      <w:r>
        <w:separator/>
      </w:r>
    </w:p>
  </w:footnote>
  <w:footnote w:type="continuationSeparator" w:id="0">
    <w:p w:rsidR="0069724D" w:rsidRDefault="0069724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01F7" w:rsidRDefault="00732175">
    <w:pPr>
      <w:pStyle w:val="ab"/>
      <w:jc w:val="center"/>
      <w:rPr>
        <w:sz w:val="20"/>
        <w:szCs w:val="20"/>
      </w:rPr>
    </w:pPr>
    <w:r>
      <w:rPr>
        <w:sz w:val="20"/>
        <w:szCs w:val="20"/>
      </w:rPr>
      <w:fldChar w:fldCharType="begin"/>
    </w:r>
    <w:r>
      <w:rPr>
        <w:sz w:val="20"/>
        <w:szCs w:val="20"/>
      </w:rPr>
      <w:instrText>PAGE   \* MERGEFORMAT</w:instrText>
    </w:r>
    <w:r>
      <w:rPr>
        <w:sz w:val="20"/>
        <w:szCs w:val="20"/>
      </w:rPr>
      <w:fldChar w:fldCharType="separate"/>
    </w:r>
    <w:r w:rsidR="004A14DA">
      <w:rPr>
        <w:noProof/>
        <w:sz w:val="20"/>
        <w:szCs w:val="20"/>
      </w:rPr>
      <w:t>2</w:t>
    </w:r>
    <w:r>
      <w:rPr>
        <w:sz w:val="20"/>
        <w:szCs w:val="20"/>
      </w:rPr>
      <w:fldChar w:fldCharType="end"/>
    </w:r>
  </w:p>
  <w:p w:rsidR="008B01F7" w:rsidRDefault="008B01F7">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034"/>
    <w:multiLevelType w:val="hybridMultilevel"/>
    <w:tmpl w:val="B6E634C6"/>
    <w:lvl w:ilvl="0" w:tplc="0480172C">
      <w:start w:val="1"/>
      <w:numFmt w:val="decimal"/>
      <w:lvlText w:val="%1."/>
      <w:lvlJc w:val="left"/>
      <w:pPr>
        <w:ind w:left="1418" w:hanging="360"/>
      </w:pPr>
    </w:lvl>
    <w:lvl w:ilvl="1" w:tplc="34586F84">
      <w:start w:val="1"/>
      <w:numFmt w:val="lowerLetter"/>
      <w:lvlText w:val="%2."/>
      <w:lvlJc w:val="left"/>
      <w:pPr>
        <w:ind w:left="2138" w:hanging="360"/>
      </w:pPr>
    </w:lvl>
    <w:lvl w:ilvl="2" w:tplc="73A865EE">
      <w:start w:val="1"/>
      <w:numFmt w:val="lowerRoman"/>
      <w:lvlText w:val="%3."/>
      <w:lvlJc w:val="right"/>
      <w:pPr>
        <w:ind w:left="2858" w:hanging="180"/>
      </w:pPr>
    </w:lvl>
    <w:lvl w:ilvl="3" w:tplc="FCBA2C72">
      <w:start w:val="1"/>
      <w:numFmt w:val="decimal"/>
      <w:lvlText w:val="%4."/>
      <w:lvlJc w:val="left"/>
      <w:pPr>
        <w:ind w:left="3578" w:hanging="360"/>
      </w:pPr>
    </w:lvl>
    <w:lvl w:ilvl="4" w:tplc="6EE4A37A">
      <w:start w:val="1"/>
      <w:numFmt w:val="lowerLetter"/>
      <w:lvlText w:val="%5."/>
      <w:lvlJc w:val="left"/>
      <w:pPr>
        <w:ind w:left="4298" w:hanging="360"/>
      </w:pPr>
    </w:lvl>
    <w:lvl w:ilvl="5" w:tplc="F880EA0C">
      <w:start w:val="1"/>
      <w:numFmt w:val="lowerRoman"/>
      <w:lvlText w:val="%6."/>
      <w:lvlJc w:val="right"/>
      <w:pPr>
        <w:ind w:left="5018" w:hanging="180"/>
      </w:pPr>
    </w:lvl>
    <w:lvl w:ilvl="6" w:tplc="77EAC8DA">
      <w:start w:val="1"/>
      <w:numFmt w:val="decimal"/>
      <w:lvlText w:val="%7."/>
      <w:lvlJc w:val="left"/>
      <w:pPr>
        <w:ind w:left="5738" w:hanging="360"/>
      </w:pPr>
    </w:lvl>
    <w:lvl w:ilvl="7" w:tplc="108AE89E">
      <w:start w:val="1"/>
      <w:numFmt w:val="lowerLetter"/>
      <w:lvlText w:val="%8."/>
      <w:lvlJc w:val="left"/>
      <w:pPr>
        <w:ind w:left="6458" w:hanging="360"/>
      </w:pPr>
    </w:lvl>
    <w:lvl w:ilvl="8" w:tplc="936890FE">
      <w:start w:val="1"/>
      <w:numFmt w:val="lowerRoman"/>
      <w:lvlText w:val="%9."/>
      <w:lvlJc w:val="right"/>
      <w:pPr>
        <w:ind w:left="7178" w:hanging="180"/>
      </w:pPr>
    </w:lvl>
  </w:abstractNum>
  <w:abstractNum w:abstractNumId="1" w15:restartNumberingAfterBreak="0">
    <w:nsid w:val="050671C9"/>
    <w:multiLevelType w:val="hybridMultilevel"/>
    <w:tmpl w:val="0F3269F8"/>
    <w:lvl w:ilvl="0" w:tplc="C05051E6">
      <w:start w:val="1"/>
      <w:numFmt w:val="decimal"/>
      <w:lvlText w:val="%1."/>
      <w:lvlJc w:val="left"/>
      <w:pPr>
        <w:ind w:left="1418" w:hanging="360"/>
      </w:pPr>
    </w:lvl>
    <w:lvl w:ilvl="1" w:tplc="676287C0">
      <w:start w:val="1"/>
      <w:numFmt w:val="lowerLetter"/>
      <w:lvlText w:val="%2."/>
      <w:lvlJc w:val="left"/>
      <w:pPr>
        <w:ind w:left="2138" w:hanging="360"/>
      </w:pPr>
    </w:lvl>
    <w:lvl w:ilvl="2" w:tplc="66B49162">
      <w:start w:val="1"/>
      <w:numFmt w:val="lowerRoman"/>
      <w:lvlText w:val="%3."/>
      <w:lvlJc w:val="right"/>
      <w:pPr>
        <w:ind w:left="2858" w:hanging="180"/>
      </w:pPr>
    </w:lvl>
    <w:lvl w:ilvl="3" w:tplc="E82A4BFA">
      <w:start w:val="1"/>
      <w:numFmt w:val="decimal"/>
      <w:lvlText w:val="%4."/>
      <w:lvlJc w:val="left"/>
      <w:pPr>
        <w:ind w:left="3578" w:hanging="360"/>
      </w:pPr>
    </w:lvl>
    <w:lvl w:ilvl="4" w:tplc="09986AF8">
      <w:start w:val="1"/>
      <w:numFmt w:val="lowerLetter"/>
      <w:lvlText w:val="%5."/>
      <w:lvlJc w:val="left"/>
      <w:pPr>
        <w:ind w:left="4298" w:hanging="360"/>
      </w:pPr>
    </w:lvl>
    <w:lvl w:ilvl="5" w:tplc="4B289BC2">
      <w:start w:val="1"/>
      <w:numFmt w:val="lowerRoman"/>
      <w:lvlText w:val="%6."/>
      <w:lvlJc w:val="right"/>
      <w:pPr>
        <w:ind w:left="5018" w:hanging="180"/>
      </w:pPr>
    </w:lvl>
    <w:lvl w:ilvl="6" w:tplc="CE482672">
      <w:start w:val="1"/>
      <w:numFmt w:val="decimal"/>
      <w:lvlText w:val="%7."/>
      <w:lvlJc w:val="left"/>
      <w:pPr>
        <w:ind w:left="5738" w:hanging="360"/>
      </w:pPr>
    </w:lvl>
    <w:lvl w:ilvl="7" w:tplc="5DC6D802">
      <w:start w:val="1"/>
      <w:numFmt w:val="lowerLetter"/>
      <w:lvlText w:val="%8."/>
      <w:lvlJc w:val="left"/>
      <w:pPr>
        <w:ind w:left="6458" w:hanging="360"/>
      </w:pPr>
    </w:lvl>
    <w:lvl w:ilvl="8" w:tplc="87369428">
      <w:start w:val="1"/>
      <w:numFmt w:val="lowerRoman"/>
      <w:lvlText w:val="%9."/>
      <w:lvlJc w:val="right"/>
      <w:pPr>
        <w:ind w:left="7178" w:hanging="180"/>
      </w:pPr>
    </w:lvl>
  </w:abstractNum>
  <w:abstractNum w:abstractNumId="2" w15:restartNumberingAfterBreak="0">
    <w:nsid w:val="0CCE5AA5"/>
    <w:multiLevelType w:val="hybridMultilevel"/>
    <w:tmpl w:val="7500DFFE"/>
    <w:lvl w:ilvl="0" w:tplc="D6CE5EB2">
      <w:start w:val="1"/>
      <w:numFmt w:val="decimal"/>
      <w:lvlText w:val="%1."/>
      <w:lvlJc w:val="left"/>
      <w:pPr>
        <w:ind w:left="1418" w:hanging="360"/>
      </w:pPr>
    </w:lvl>
    <w:lvl w:ilvl="1" w:tplc="3AAEB44E">
      <w:start w:val="1"/>
      <w:numFmt w:val="lowerLetter"/>
      <w:lvlText w:val="%2."/>
      <w:lvlJc w:val="left"/>
      <w:pPr>
        <w:ind w:left="2138" w:hanging="360"/>
      </w:pPr>
    </w:lvl>
    <w:lvl w:ilvl="2" w:tplc="823221BC">
      <w:start w:val="1"/>
      <w:numFmt w:val="lowerRoman"/>
      <w:lvlText w:val="%3."/>
      <w:lvlJc w:val="right"/>
      <w:pPr>
        <w:ind w:left="2858" w:hanging="180"/>
      </w:pPr>
    </w:lvl>
    <w:lvl w:ilvl="3" w:tplc="749AC68C">
      <w:start w:val="1"/>
      <w:numFmt w:val="decimal"/>
      <w:lvlText w:val="%4."/>
      <w:lvlJc w:val="left"/>
      <w:pPr>
        <w:ind w:left="3578" w:hanging="360"/>
      </w:pPr>
    </w:lvl>
    <w:lvl w:ilvl="4" w:tplc="8070C934">
      <w:start w:val="1"/>
      <w:numFmt w:val="lowerLetter"/>
      <w:lvlText w:val="%5."/>
      <w:lvlJc w:val="left"/>
      <w:pPr>
        <w:ind w:left="4298" w:hanging="360"/>
      </w:pPr>
    </w:lvl>
    <w:lvl w:ilvl="5" w:tplc="74DCBC88">
      <w:start w:val="1"/>
      <w:numFmt w:val="lowerRoman"/>
      <w:lvlText w:val="%6."/>
      <w:lvlJc w:val="right"/>
      <w:pPr>
        <w:ind w:left="5018" w:hanging="180"/>
      </w:pPr>
    </w:lvl>
    <w:lvl w:ilvl="6" w:tplc="393AB45C">
      <w:start w:val="1"/>
      <w:numFmt w:val="decimal"/>
      <w:lvlText w:val="%7."/>
      <w:lvlJc w:val="left"/>
      <w:pPr>
        <w:ind w:left="5738" w:hanging="360"/>
      </w:pPr>
    </w:lvl>
    <w:lvl w:ilvl="7" w:tplc="E5C8EFAC">
      <w:start w:val="1"/>
      <w:numFmt w:val="lowerLetter"/>
      <w:lvlText w:val="%8."/>
      <w:lvlJc w:val="left"/>
      <w:pPr>
        <w:ind w:left="6458" w:hanging="360"/>
      </w:pPr>
    </w:lvl>
    <w:lvl w:ilvl="8" w:tplc="5DEECE1E">
      <w:start w:val="1"/>
      <w:numFmt w:val="lowerRoman"/>
      <w:lvlText w:val="%9."/>
      <w:lvlJc w:val="right"/>
      <w:pPr>
        <w:ind w:left="7178" w:hanging="180"/>
      </w:pPr>
    </w:lvl>
  </w:abstractNum>
  <w:abstractNum w:abstractNumId="3" w15:restartNumberingAfterBreak="0">
    <w:nsid w:val="46E61E50"/>
    <w:multiLevelType w:val="hybridMultilevel"/>
    <w:tmpl w:val="0F048EF0"/>
    <w:lvl w:ilvl="0" w:tplc="366C3A50">
      <w:start w:val="1"/>
      <w:numFmt w:val="decimal"/>
      <w:lvlText w:val="%1."/>
      <w:lvlJc w:val="left"/>
      <w:pPr>
        <w:ind w:left="709" w:hanging="360"/>
      </w:pPr>
    </w:lvl>
    <w:lvl w:ilvl="1" w:tplc="7F52EDB8">
      <w:start w:val="1"/>
      <w:numFmt w:val="lowerLetter"/>
      <w:lvlText w:val="%2."/>
      <w:lvlJc w:val="left"/>
      <w:pPr>
        <w:ind w:left="1429" w:hanging="360"/>
      </w:pPr>
    </w:lvl>
    <w:lvl w:ilvl="2" w:tplc="67D6141A">
      <w:start w:val="1"/>
      <w:numFmt w:val="lowerRoman"/>
      <w:lvlText w:val="%3."/>
      <w:lvlJc w:val="right"/>
      <w:pPr>
        <w:ind w:left="2149" w:hanging="180"/>
      </w:pPr>
    </w:lvl>
    <w:lvl w:ilvl="3" w:tplc="6E4AABBC">
      <w:start w:val="1"/>
      <w:numFmt w:val="decimal"/>
      <w:lvlText w:val="%4."/>
      <w:lvlJc w:val="left"/>
      <w:pPr>
        <w:ind w:left="2869" w:hanging="360"/>
      </w:pPr>
    </w:lvl>
    <w:lvl w:ilvl="4" w:tplc="C89A6E02">
      <w:start w:val="1"/>
      <w:numFmt w:val="lowerLetter"/>
      <w:lvlText w:val="%5."/>
      <w:lvlJc w:val="left"/>
      <w:pPr>
        <w:ind w:left="3589" w:hanging="360"/>
      </w:pPr>
    </w:lvl>
    <w:lvl w:ilvl="5" w:tplc="9D7E677A">
      <w:start w:val="1"/>
      <w:numFmt w:val="lowerRoman"/>
      <w:lvlText w:val="%6."/>
      <w:lvlJc w:val="right"/>
      <w:pPr>
        <w:ind w:left="4309" w:hanging="180"/>
      </w:pPr>
    </w:lvl>
    <w:lvl w:ilvl="6" w:tplc="3A3EF09A">
      <w:start w:val="1"/>
      <w:numFmt w:val="decimal"/>
      <w:lvlText w:val="%7."/>
      <w:lvlJc w:val="left"/>
      <w:pPr>
        <w:ind w:left="5029" w:hanging="360"/>
      </w:pPr>
    </w:lvl>
    <w:lvl w:ilvl="7" w:tplc="C318F060">
      <w:start w:val="1"/>
      <w:numFmt w:val="lowerLetter"/>
      <w:lvlText w:val="%8."/>
      <w:lvlJc w:val="left"/>
      <w:pPr>
        <w:ind w:left="5749" w:hanging="360"/>
      </w:pPr>
    </w:lvl>
    <w:lvl w:ilvl="8" w:tplc="3C70E508">
      <w:start w:val="1"/>
      <w:numFmt w:val="lowerRoman"/>
      <w:lvlText w:val="%9."/>
      <w:lvlJc w:val="right"/>
      <w:pPr>
        <w:ind w:left="6469" w:hanging="180"/>
      </w:pPr>
    </w:lvl>
  </w:abstractNum>
  <w:abstractNum w:abstractNumId="4" w15:restartNumberingAfterBreak="0">
    <w:nsid w:val="76A578B9"/>
    <w:multiLevelType w:val="hybridMultilevel"/>
    <w:tmpl w:val="6A7A40A6"/>
    <w:lvl w:ilvl="0" w:tplc="AE743F5E">
      <w:start w:val="1"/>
      <w:numFmt w:val="decimal"/>
      <w:lvlText w:val="%1."/>
      <w:lvlJc w:val="left"/>
      <w:pPr>
        <w:ind w:left="1418" w:hanging="360"/>
      </w:pPr>
    </w:lvl>
    <w:lvl w:ilvl="1" w:tplc="7A1CE1E6">
      <w:start w:val="1"/>
      <w:numFmt w:val="lowerLetter"/>
      <w:lvlText w:val="%2."/>
      <w:lvlJc w:val="left"/>
      <w:pPr>
        <w:ind w:left="2138" w:hanging="360"/>
      </w:pPr>
    </w:lvl>
    <w:lvl w:ilvl="2" w:tplc="F948077C">
      <w:start w:val="1"/>
      <w:numFmt w:val="lowerRoman"/>
      <w:lvlText w:val="%3."/>
      <w:lvlJc w:val="right"/>
      <w:pPr>
        <w:ind w:left="2858" w:hanging="180"/>
      </w:pPr>
    </w:lvl>
    <w:lvl w:ilvl="3" w:tplc="9D5426C0">
      <w:start w:val="1"/>
      <w:numFmt w:val="decimal"/>
      <w:lvlText w:val="%4."/>
      <w:lvlJc w:val="left"/>
      <w:pPr>
        <w:ind w:left="3578" w:hanging="360"/>
      </w:pPr>
    </w:lvl>
    <w:lvl w:ilvl="4" w:tplc="DC985142">
      <w:start w:val="1"/>
      <w:numFmt w:val="lowerLetter"/>
      <w:lvlText w:val="%5."/>
      <w:lvlJc w:val="left"/>
      <w:pPr>
        <w:ind w:left="4298" w:hanging="360"/>
      </w:pPr>
    </w:lvl>
    <w:lvl w:ilvl="5" w:tplc="A2D8A5EC">
      <w:start w:val="1"/>
      <w:numFmt w:val="lowerRoman"/>
      <w:lvlText w:val="%6."/>
      <w:lvlJc w:val="right"/>
      <w:pPr>
        <w:ind w:left="5018" w:hanging="180"/>
      </w:pPr>
    </w:lvl>
    <w:lvl w:ilvl="6" w:tplc="B9069554">
      <w:start w:val="1"/>
      <w:numFmt w:val="decimal"/>
      <w:lvlText w:val="%7."/>
      <w:lvlJc w:val="left"/>
      <w:pPr>
        <w:ind w:left="5738" w:hanging="360"/>
      </w:pPr>
    </w:lvl>
    <w:lvl w:ilvl="7" w:tplc="220A53F6">
      <w:start w:val="1"/>
      <w:numFmt w:val="lowerLetter"/>
      <w:lvlText w:val="%8."/>
      <w:lvlJc w:val="left"/>
      <w:pPr>
        <w:ind w:left="6458" w:hanging="360"/>
      </w:pPr>
    </w:lvl>
    <w:lvl w:ilvl="8" w:tplc="6C4AD5B2">
      <w:start w:val="1"/>
      <w:numFmt w:val="lowerRoman"/>
      <w:lvlText w:val="%9."/>
      <w:lvlJc w:val="right"/>
      <w:pPr>
        <w:ind w:left="7178" w:hanging="180"/>
      </w:p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1F7"/>
    <w:rsid w:val="004A14DA"/>
    <w:rsid w:val="0069724D"/>
    <w:rsid w:val="00732175"/>
    <w:rsid w:val="008B01F7"/>
    <w:rsid w:val="00C244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6DBDA71-42DC-4DC2-A078-0222FDD2F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szCs w:val="28"/>
      <w:lang w:eastAsia="ru-RU"/>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link w:val="1"/>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Заголовок Знак"/>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pPr>
      <w:tabs>
        <w:tab w:val="center" w:pos="4153"/>
        <w:tab w:val="right" w:pos="8306"/>
      </w:tabs>
    </w:pPr>
  </w:style>
  <w:style w:type="character" w:customStyle="1" w:styleId="HeaderChar">
    <w:name w:val="Header Char"/>
    <w:uiPriority w:val="99"/>
  </w:style>
  <w:style w:type="paragraph" w:styleId="ad">
    <w:name w:val="footer"/>
    <w:basedOn w:val="a"/>
    <w:link w:val="ae"/>
    <w:pPr>
      <w:tabs>
        <w:tab w:val="center" w:pos="4677"/>
        <w:tab w:val="right" w:pos="9355"/>
      </w:tabs>
    </w:pPr>
  </w:style>
  <w:style w:type="character" w:customStyle="1" w:styleId="FooterChar">
    <w:name w:val="Footer Char"/>
    <w:uiPriority w:val="99"/>
  </w:style>
  <w:style w:type="paragraph" w:styleId="af">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styleId="af0">
    <w:name w:val="Table Grid"/>
    <w:basedOn w:val="a1"/>
    <w:rPr>
      <w:rFonts w:ascii="Calibri" w:eastAsia="Calibri" w:hAnsi="Calibri"/>
    </w:rPr>
    <w:tblPr/>
  </w:style>
  <w:style w:type="table" w:customStyle="1" w:styleId="TableGridLight">
    <w:name w:val="Table Grid Light"/>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styleId="11">
    <w:name w:val="Plain Table 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uiPriority w:val="99"/>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uiPriority w:val="99"/>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uiPriority w:val="99"/>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uiPriority w:val="99"/>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Pr>
      <w:color w:val="40404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Pr>
      <w:color w:val="40404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Pr>
      <w:color w:val="40404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Pr>
      <w:color w:val="40404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Pr>
      <w:color w:val="40404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Pr>
      <w:color w:val="40404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Pr>
      <w:color w:val="40404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1">
    <w:name w:val="Hyperlink"/>
    <w:rPr>
      <w:rFonts w:cs="Times New Roman"/>
      <w:color w:val="0000FF"/>
      <w:u w:val="single"/>
    </w:rPr>
  </w:style>
  <w:style w:type="paragraph" w:styleId="af2">
    <w:name w:val="footnote text"/>
    <w:basedOn w:val="a"/>
    <w:link w:val="af3"/>
    <w:uiPriority w:val="99"/>
    <w:semiHidden/>
    <w:unhideWhenUsed/>
    <w:pPr>
      <w:spacing w:after="40"/>
    </w:pPr>
    <w:rPr>
      <w:sz w:val="18"/>
    </w:rPr>
  </w:style>
  <w:style w:type="character" w:customStyle="1" w:styleId="af3">
    <w:name w:val="Текст сноски Знак"/>
    <w:link w:val="af2"/>
    <w:uiPriority w:val="99"/>
    <w:rPr>
      <w:sz w:val="18"/>
    </w:rPr>
  </w:style>
  <w:style w:type="character" w:styleId="af4">
    <w:name w:val="footnote reference"/>
    <w:uiPriority w:val="99"/>
    <w:unhideWhenUsed/>
    <w:rPr>
      <w:vertAlign w:val="superscript"/>
    </w:rPr>
  </w:style>
  <w:style w:type="paragraph" w:styleId="af5">
    <w:name w:val="endnote text"/>
    <w:basedOn w:val="a"/>
    <w:link w:val="af6"/>
    <w:uiPriority w:val="99"/>
    <w:semiHidden/>
    <w:unhideWhenUsed/>
    <w:rPr>
      <w:sz w:val="20"/>
    </w:rPr>
  </w:style>
  <w:style w:type="character" w:customStyle="1" w:styleId="af6">
    <w:name w:val="Текст концевой сноски Знак"/>
    <w:link w:val="af5"/>
    <w:uiPriority w:val="99"/>
    <w:rPr>
      <w:sz w:val="20"/>
    </w:rPr>
  </w:style>
  <w:style w:type="character" w:styleId="af7">
    <w:name w:val="endnote reference"/>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style>
  <w:style w:type="character" w:customStyle="1" w:styleId="ac">
    <w:name w:val="Верхний колонтитул Знак"/>
    <w:link w:val="ab"/>
    <w:uiPriority w:val="99"/>
    <w:rPr>
      <w:sz w:val="28"/>
      <w:szCs w:val="28"/>
      <w:lang w:val="ru-RU" w:eastAsia="ru-RU" w:bidi="ar-SA"/>
    </w:rPr>
  </w:style>
  <w:style w:type="paragraph" w:styleId="25">
    <w:name w:val="Body Text 2"/>
    <w:basedOn w:val="a"/>
    <w:link w:val="26"/>
    <w:pPr>
      <w:jc w:val="both"/>
    </w:pPr>
  </w:style>
  <w:style w:type="character" w:customStyle="1" w:styleId="26">
    <w:name w:val="Основной текст 2 Знак"/>
    <w:link w:val="25"/>
    <w:rPr>
      <w:sz w:val="28"/>
      <w:szCs w:val="28"/>
      <w:lang w:val="ru-RU" w:eastAsia="ru-RU" w:bidi="ar-SA"/>
    </w:rPr>
  </w:style>
  <w:style w:type="paragraph" w:styleId="33">
    <w:name w:val="Body Text 3"/>
    <w:basedOn w:val="a"/>
    <w:link w:val="34"/>
    <w:pPr>
      <w:jc w:val="center"/>
    </w:pPr>
    <w:rPr>
      <w:b/>
      <w:bCs/>
    </w:rPr>
  </w:style>
  <w:style w:type="character" w:customStyle="1" w:styleId="34">
    <w:name w:val="Основной текст 3 Знак"/>
    <w:link w:val="33"/>
    <w:rPr>
      <w:b/>
      <w:bCs/>
      <w:sz w:val="28"/>
      <w:szCs w:val="28"/>
      <w:lang w:val="ru-RU" w:eastAsia="ru-RU" w:bidi="ar-SA"/>
    </w:rPr>
  </w:style>
  <w:style w:type="paragraph" w:styleId="afa">
    <w:name w:val="Balloon Text"/>
    <w:basedOn w:val="a"/>
    <w:semiHidden/>
    <w:rPr>
      <w:rFonts w:ascii="Tahoma" w:hAnsi="Tahoma" w:cs="Tahoma"/>
      <w:sz w:val="16"/>
      <w:szCs w:val="16"/>
    </w:rPr>
  </w:style>
  <w:style w:type="paragraph" w:styleId="afb">
    <w:name w:val="Block Text"/>
    <w:basedOn w:val="a"/>
    <w:pPr>
      <w:tabs>
        <w:tab w:val="left" w:pos="2552"/>
      </w:tabs>
      <w:ind w:left="1701" w:right="-369" w:hanging="2694"/>
      <w:jc w:val="both"/>
    </w:pPr>
    <w:rPr>
      <w:szCs w:val="20"/>
    </w:rPr>
  </w:style>
  <w:style w:type="character" w:customStyle="1" w:styleId="43">
    <w:name w:val="Знак Знак4"/>
    <w:rPr>
      <w:rFonts w:ascii="Times New Roman" w:eastAsia="Times New Roman" w:hAnsi="Times New Roman" w:cs="Times New Roman"/>
      <w:sz w:val="28"/>
      <w:szCs w:val="28"/>
      <w:lang w:eastAsia="ru-RU"/>
    </w:rPr>
  </w:style>
  <w:style w:type="paragraph" w:customStyle="1" w:styleId="Default">
    <w:name w:val="Default"/>
    <w:rPr>
      <w:rFonts w:ascii="Calibri" w:hAnsi="Calibri" w:cs="Calibri"/>
      <w:color w:val="000000"/>
      <w:sz w:val="24"/>
      <w:szCs w:val="24"/>
      <w:lang w:eastAsia="ru-RU"/>
    </w:rPr>
  </w:style>
  <w:style w:type="paragraph" w:customStyle="1" w:styleId="Style5">
    <w:name w:val="Style5"/>
    <w:basedOn w:val="a"/>
    <w:uiPriority w:val="99"/>
    <w:pPr>
      <w:widowControl w:val="0"/>
      <w:spacing w:line="372" w:lineRule="exact"/>
      <w:ind w:firstLine="701"/>
      <w:jc w:val="both"/>
    </w:pPr>
    <w:rPr>
      <w:sz w:val="24"/>
      <w:szCs w:val="24"/>
    </w:rPr>
  </w:style>
  <w:style w:type="character" w:customStyle="1" w:styleId="FontStyle14">
    <w:name w:val="Font Style14"/>
    <w:uiPriority w:val="99"/>
    <w:rPr>
      <w:rFonts w:ascii="Times New Roman" w:hAnsi="Times New Roman" w:cs="Times New Roman"/>
      <w:b/>
      <w:bCs/>
      <w:sz w:val="26"/>
      <w:szCs w:val="26"/>
    </w:rPr>
  </w:style>
  <w:style w:type="character" w:customStyle="1" w:styleId="FontStyle15">
    <w:name w:val="Font Style15"/>
    <w:uiPriority w:val="99"/>
    <w:rPr>
      <w:rFonts w:ascii="Times New Roman" w:hAnsi="Times New Roman" w:cs="Times New Roman"/>
      <w:sz w:val="26"/>
      <w:szCs w:val="26"/>
    </w:rPr>
  </w:style>
  <w:style w:type="paragraph" w:customStyle="1" w:styleId="ConsPlusNormal">
    <w:name w:val="ConsPlusNormal"/>
    <w:pPr>
      <w:widowControl w:val="0"/>
      <w:ind w:firstLine="720"/>
    </w:pPr>
    <w:rPr>
      <w:rFonts w:ascii="Arial" w:hAnsi="Arial" w:cs="Arial"/>
      <w:lang w:eastAsia="ru-RU"/>
    </w:rPr>
  </w:style>
  <w:style w:type="character" w:customStyle="1" w:styleId="ae">
    <w:name w:val="Нижний колонтитул Знак"/>
    <w:link w:val="ad"/>
    <w:rPr>
      <w:sz w:val="28"/>
      <w:szCs w:val="28"/>
    </w:rPr>
  </w:style>
  <w:style w:type="paragraph" w:styleId="afc">
    <w:name w:val="Body Text"/>
    <w:basedOn w:val="a"/>
    <w:link w:val="afd"/>
    <w:uiPriority w:val="99"/>
    <w:unhideWhenUsed/>
    <w:pPr>
      <w:spacing w:after="120"/>
    </w:pPr>
  </w:style>
  <w:style w:type="character" w:customStyle="1" w:styleId="afd">
    <w:name w:val="Основной текст Знак"/>
    <w:link w:val="afc"/>
    <w:uiPriority w:val="99"/>
    <w:rPr>
      <w:sz w:val="28"/>
      <w:szCs w:val="28"/>
    </w:rPr>
  </w:style>
  <w:style w:type="character" w:customStyle="1" w:styleId="13">
    <w:name w:val="Основной текст1"/>
    <w:rPr>
      <w:rFonts w:ascii="Times New Roman" w:eastAsia="Times New Roman" w:hAnsi="Times New Roman" w:cs="Times New Roman"/>
      <w:color w:val="000000"/>
      <w:spacing w:val="0"/>
      <w:position w:val="0"/>
      <w:sz w:val="26"/>
      <w:szCs w:val="26"/>
      <w:shd w:val="clear" w:color="auto" w:fill="FFFFFF"/>
      <w:lang w:val="ru-RU"/>
    </w:rPr>
  </w:style>
  <w:style w:type="paragraph" w:customStyle="1" w:styleId="Standard">
    <w:name w:val="Standard"/>
    <w:pPr>
      <w:pBdr>
        <w:top w:val="none" w:sz="4" w:space="0" w:color="000000"/>
        <w:left w:val="none" w:sz="4" w:space="0" w:color="000000"/>
        <w:bottom w:val="none" w:sz="4" w:space="0" w:color="000000"/>
        <w:right w:val="none" w:sz="4" w:space="0" w:color="000000"/>
        <w:between w:val="none" w:sz="4" w:space="0" w:color="000000"/>
      </w:pBdr>
    </w:pPr>
    <w:rPr>
      <w:rFonts w:ascii="Liberation Serif" w:hAnsi="Liberation Serif"/>
      <w:color w:val="000000"/>
      <w:sz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305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ogin.consultant.ru/link/?req=doc&amp;base=LAW&amp;n=466154"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85583&amp;dst=2" TargetMode="External"/><Relationship Id="rId5" Type="http://schemas.openxmlformats.org/officeDocument/2006/relationships/footnotes" Target="footnotes.xml"/><Relationship Id="rId10" Type="http://schemas.openxmlformats.org/officeDocument/2006/relationships/hyperlink" Target="https://login.consultant.ru/link/?req=doc&amp;base=LAW&amp;n=466154&amp;dst=101268"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6773&amp;dst=119473"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1350</Words>
  <Characters>7698</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lpstr>
    </vt:vector>
  </TitlesOfParts>
  <Company>АГНОиПНО</Company>
  <LinksUpToDate>false</LinksUpToDate>
  <CharactersWithSpaces>9030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sna</dc:creator>
  <cp:lastModifiedBy>Кухаева Наталья Александровна</cp:lastModifiedBy>
  <cp:revision>2</cp:revision>
  <dcterms:created xsi:type="dcterms:W3CDTF">2025-04-09T06:01:00Z</dcterms:created>
  <dcterms:modified xsi:type="dcterms:W3CDTF">2025-04-09T06:01:00Z</dcterms:modified>
  <cp:version>1048576</cp:version>
</cp:coreProperties>
</file>