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249"/>
        <w:gridCol w:w="851"/>
        <w:gridCol w:w="2125"/>
        <w:gridCol w:w="568"/>
        <w:gridCol w:w="1452"/>
        <w:gridCol w:w="194"/>
        <w:gridCol w:w="239"/>
        <w:gridCol w:w="4162"/>
      </w:tblGrid>
      <w:tr>
        <w:trPr/>
        <w:tblPrEx/>
        <w:tc>
          <w:tcPr>
            <w:tcW w:w="5438" w:type="dxa"/>
            <w:gridSpan w:val="6"/>
            <w:noWrap w:val="false"/>
            <w:textDirection w:val="lrTb"/>
          </w:tcPr>
          <w:p>
            <w:pPr>
              <w:pStyle w:val="889"/>
              <w:widowControl w:val="off"/>
              <w:jc w:val="center"/>
              <w:rPr>
                <w:rFonts w:eastAsia="Calibri"/>
                <w:sz w:val="8"/>
                <w:szCs w:val="8"/>
                <w:lang w:val="en-US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9910" cy="650240"/>
                      <wp:effectExtent l="0" t="0" r="0" b="0"/>
                      <wp:docPr id="1" name="_x005F_x0000_i1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9910" cy="650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30pt;height:51.2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eastAsia="Calibri"/>
                <w:sz w:val="8"/>
                <w:szCs w:val="8"/>
                <w:lang w:val="en-US"/>
              </w:rPr>
            </w:r>
            <w:r>
              <w:rPr>
                <w:rFonts w:eastAsia="Calibri"/>
                <w:sz w:val="8"/>
                <w:szCs w:val="8"/>
                <w:lang w:val="en-US"/>
              </w:rPr>
            </w:r>
          </w:p>
          <w:p>
            <w:pPr>
              <w:pStyle w:val="889"/>
              <w:widowControl w:val="off"/>
              <w:jc w:val="center"/>
              <w:rPr>
                <w:rFonts w:eastAsia="Calibri"/>
                <w:sz w:val="8"/>
                <w:szCs w:val="8"/>
                <w:lang w:val="en-US"/>
              </w:rPr>
            </w:pPr>
            <w:r>
              <w:rPr>
                <w:rFonts w:eastAsia="Calibri"/>
                <w:sz w:val="8"/>
                <w:szCs w:val="8"/>
                <w:lang w:val="en-US"/>
              </w:rPr>
            </w:r>
            <w:r>
              <w:rPr>
                <w:rFonts w:eastAsia="Calibri"/>
                <w:sz w:val="8"/>
                <w:szCs w:val="8"/>
                <w:lang w:val="en-US"/>
              </w:rPr>
            </w:r>
            <w:r>
              <w:rPr>
                <w:rFonts w:eastAsia="Calibri"/>
                <w:sz w:val="8"/>
                <w:szCs w:val="8"/>
                <w:lang w:val="en-US"/>
              </w:rPr>
            </w:r>
          </w:p>
          <w:p>
            <w:pPr>
              <w:widowControl w:val="off"/>
              <w:jc w:val="center"/>
            </w:pPr>
            <w:r>
              <w:rPr>
                <w:b/>
                <w:sz w:val="26"/>
                <w:szCs w:val="26"/>
              </w:rPr>
              <w:t xml:space="preserve">КОНТРОЛЬНОЕ УПРАВЛЕНИЕ</w:t>
            </w:r>
          </w:p>
          <w:p>
            <w:pPr>
              <w:widowControl w:val="off"/>
              <w:jc w:val="center"/>
            </w:pPr>
            <w:r>
              <w:rPr>
                <w:b/>
                <w:sz w:val="26"/>
                <w:szCs w:val="26"/>
              </w:rPr>
              <w:t xml:space="preserve">НОВОСИБИРСКОЙ ОБЛАСТИ</w:t>
            </w:r>
          </w:p>
          <w:p>
            <w:pPr>
              <w:widowControl w:val="off"/>
              <w:jc w:val="center"/>
            </w:pPr>
            <w:r>
              <w:rPr>
                <w:sz w:val="26"/>
                <w:szCs w:val="26"/>
              </w:rPr>
              <w:t xml:space="preserve">(УК НСО)</w:t>
            </w:r>
          </w:p>
          <w:p>
            <w:pPr>
              <w:pStyle w:val="890"/>
              <w:widowControl w:val="off"/>
              <w:rPr>
                <w:rFonts w:eastAsia="Calibri"/>
                <w:sz w:val="8"/>
                <w:szCs w:val="8"/>
              </w:rPr>
            </w:pPr>
            <w:r>
              <w:rPr>
                <w:rFonts w:eastAsia="Calibri"/>
                <w:sz w:val="8"/>
                <w:szCs w:val="8"/>
              </w:rPr>
            </w:r>
            <w:r>
              <w:rPr>
                <w:rFonts w:eastAsia="Calibri"/>
                <w:sz w:val="8"/>
                <w:szCs w:val="8"/>
              </w:rPr>
            </w:r>
            <w:r>
              <w:rPr>
                <w:rFonts w:eastAsia="Calibri"/>
                <w:sz w:val="8"/>
                <w:szCs w:val="8"/>
              </w:rPr>
            </w:r>
          </w:p>
          <w:p>
            <w:pPr>
              <w:widowControl w:val="off"/>
              <w:jc w:val="center"/>
            </w:pPr>
            <w:r>
              <w:rPr>
                <w:sz w:val="22"/>
              </w:rPr>
              <w:t xml:space="preserve">Красный проспект, д. 18, г. Новосибирск, 630007</w:t>
            </w:r>
          </w:p>
          <w:p>
            <w:pPr>
              <w:widowControl w:val="off"/>
              <w:jc w:val="center"/>
            </w:pPr>
            <w:r>
              <w:rPr>
                <w:sz w:val="22"/>
              </w:rPr>
              <w:t xml:space="preserve">тел</w:t>
            </w:r>
            <w:r>
              <w:rPr>
                <w:sz w:val="22"/>
                <w:lang w:val="de-DE"/>
              </w:rPr>
              <w:t xml:space="preserve">.</w:t>
            </w:r>
            <w:r>
              <w:rPr>
                <w:sz w:val="22"/>
              </w:rPr>
              <w:t xml:space="preserve">/факс</w:t>
            </w:r>
            <w:r>
              <w:rPr>
                <w:sz w:val="22"/>
                <w:lang w:val="de-DE"/>
              </w:rPr>
              <w:t xml:space="preserve"> </w:t>
            </w:r>
            <w:r>
              <w:rPr>
                <w:sz w:val="22"/>
              </w:rPr>
              <w:t xml:space="preserve">(383) </w:t>
            </w:r>
            <w:r>
              <w:rPr>
                <w:sz w:val="22"/>
                <w:lang w:val="de-DE"/>
              </w:rPr>
              <w:t xml:space="preserve">2</w:t>
            </w:r>
            <w:r>
              <w:rPr>
                <w:sz w:val="22"/>
              </w:rPr>
              <w:t xml:space="preserve">23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59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59</w:t>
            </w:r>
          </w:p>
          <w:p>
            <w:pPr>
              <w:widowControl w:val="off"/>
              <w:jc w:val="center"/>
            </w:pPr>
            <w:r>
              <w:rPr>
                <w:sz w:val="22"/>
                <w:lang w:val="de-DE"/>
              </w:rPr>
              <w:t xml:space="preserve">E-mail: </w:t>
            </w:r>
            <w:hyperlink r:id="rId11" w:tooltip="mailto:uk@nso.ru" w:history="1">
              <w:r>
                <w:rPr>
                  <w:sz w:val="22"/>
                  <w:lang w:val="en-US"/>
                </w:rPr>
                <w:t xml:space="preserve">uk@nso.ru</w:t>
              </w:r>
            </w:hyperlink>
          </w:p>
          <w:p>
            <w:pPr>
              <w:widowControl w:val="off"/>
              <w:jc w:val="center"/>
              <w:rPr>
                <w:sz w:val="8"/>
                <w:szCs w:val="8"/>
                <w:lang w:val="en-US"/>
              </w:rPr>
            </w:pPr>
            <w:hyperlink r:id="rId12" w:tooltip="http://www.uk.nso.ru/" w:history="1">
              <w:r>
                <w:rPr>
                  <w:sz w:val="22"/>
                  <w:szCs w:val="22"/>
                  <w:lang w:val="en-US"/>
                </w:rPr>
                <w:t xml:space="preserve">www.uk.nso.ru</w:t>
              </w:r>
            </w:hyperlink>
            <w:r>
              <w:rPr>
                <w:sz w:val="8"/>
                <w:szCs w:val="8"/>
                <w:lang w:val="en-US"/>
              </w:rPr>
            </w:r>
            <w:r>
              <w:rPr>
                <w:sz w:val="8"/>
                <w:szCs w:val="8"/>
                <w:lang w:val="en-US"/>
              </w:rPr>
            </w:r>
          </w:p>
          <w:p>
            <w:pPr>
              <w:widowControl w:val="off"/>
              <w:jc w:val="center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  <w:r>
              <w:rPr>
                <w:sz w:val="8"/>
                <w:szCs w:val="8"/>
                <w:lang w:val="en-US"/>
              </w:rPr>
            </w: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239" w:type="dxa"/>
            <w:noWrap w:val="false"/>
            <w:textDirection w:val="lrTb"/>
          </w:tcPr>
          <w:p>
            <w:pPr>
              <w:widowControl w:val="off"/>
              <w:rPr>
                <w:rFonts w:ascii="Calibri" w:hAnsi="Calibri" w:eastAsia="Calibri" w:cs="Calibri"/>
                <w:sz w:val="8"/>
                <w:szCs w:val="8"/>
                <w:lang w:val="de-DE"/>
              </w:rPr>
            </w:pPr>
            <w:r>
              <w:rPr>
                <w:rFonts w:ascii="Calibri" w:hAnsi="Calibri" w:eastAsia="Calibri" w:cs="Calibri"/>
                <w:sz w:val="8"/>
                <w:szCs w:val="8"/>
                <w:lang w:val="de-DE"/>
              </w:rPr>
            </w:r>
            <w:r>
              <w:rPr>
                <w:rFonts w:ascii="Calibri" w:hAnsi="Calibri" w:eastAsia="Calibri" w:cs="Calibri"/>
                <w:sz w:val="8"/>
                <w:szCs w:val="8"/>
                <w:lang w:val="de-DE"/>
              </w:rPr>
            </w:r>
            <w:r>
              <w:rPr>
                <w:rFonts w:ascii="Calibri" w:hAnsi="Calibri" w:eastAsia="Calibri" w:cs="Calibri"/>
                <w:sz w:val="8"/>
                <w:szCs w:val="8"/>
                <w:lang w:val="de-DE"/>
              </w:rPr>
            </w:r>
          </w:p>
        </w:tc>
        <w:tc>
          <w:tcPr>
            <w:tcW w:w="4162" w:type="dxa"/>
            <w:noWrap w:val="false"/>
            <w:textDirection w:val="lrTb"/>
          </w:tcPr>
          <w:p>
            <w:pPr>
              <w:pStyle w:val="871"/>
              <w:widowControl w:val="off"/>
              <w:tabs>
                <w:tab w:val="clear" w:pos="4153" w:leader="none"/>
                <w:tab w:val="clear" w:pos="8306" w:leader="none"/>
              </w:tabs>
              <w:jc w:val="center"/>
              <w:rPr>
                <w:rFonts w:ascii="Calibri" w:hAnsi="Calibri" w:eastAsia="Calibri" w:cs="Calibri"/>
                <w:lang w:val="de-DE"/>
              </w:rPr>
            </w:pPr>
            <w:r>
              <w:rPr>
                <w:rFonts w:ascii="Calibri" w:hAnsi="Calibri" w:eastAsia="Calibri" w:cs="Calibri"/>
                <w:lang w:val="de-DE"/>
              </w:rPr>
            </w:r>
            <w:r>
              <w:rPr>
                <w:rFonts w:ascii="Calibri" w:hAnsi="Calibri" w:eastAsia="Calibri" w:cs="Calibri"/>
                <w:lang w:val="de-DE"/>
              </w:rPr>
            </w:r>
            <w:r>
              <w:rPr>
                <w:rFonts w:ascii="Calibri" w:hAnsi="Calibri" w:eastAsia="Calibri" w:cs="Calibri"/>
                <w:lang w:val="de-DE"/>
              </w:rPr>
            </w:r>
          </w:p>
          <w:p>
            <w:pPr>
              <w:pStyle w:val="871"/>
              <w:widowControl w:val="off"/>
              <w:tabs>
                <w:tab w:val="clear" w:pos="4153" w:leader="none"/>
                <w:tab w:val="clear" w:pos="8306" w:leader="none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71"/>
              <w:widowControl w:val="off"/>
              <w:tabs>
                <w:tab w:val="clear" w:pos="4153" w:leader="none"/>
                <w:tab w:val="clear" w:pos="8306" w:leader="none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71"/>
              <w:widowControl w:val="off"/>
              <w:tabs>
                <w:tab w:val="clear" w:pos="4153" w:leader="none"/>
                <w:tab w:val="clear" w:pos="8306" w:leader="none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71"/>
              <w:widowControl w:val="off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trHeight w:val="209"/>
        </w:trPr>
        <w:tblPrEx/>
        <w:tc>
          <w:tcPr>
            <w:tcW w:w="248" w:type="dxa"/>
            <w:noWrap w:val="false"/>
            <w:textDirection w:val="lrTb"/>
          </w:tcPr>
          <w:p>
            <w:pPr>
              <w:widowControl w:val="off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widowControl w:val="off"/>
              <w:ind w:left="72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4145" w:type="dxa"/>
            <w:gridSpan w:val="3"/>
            <w:tcBorders>
              <w:bottom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left"/>
            </w:pPr>
            <w:r>
              <w:rPr>
                <w:color w:val="ffffff"/>
                <w:lang w:val="en-US"/>
              </w:rPr>
              <w:t xml:space="preserve"> </w:t>
            </w:r>
            <w:r>
              <w:rPr>
                <w:color w:val="ffffff"/>
                <w:sz w:val="16"/>
                <w:szCs w:val="16"/>
                <w:lang w:val="en-US"/>
              </w:rPr>
              <w:t xml:space="preserve">  </w:t>
            </w:r>
            <w:r>
              <w:rPr>
                <w:rFonts w:eastAsia="Calibri"/>
                <w:color w:val="ffffff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95" w:type="dxa"/>
            <w:gridSpan w:val="3"/>
            <w:noWrap w:val="false"/>
            <w:textDirection w:val="lrTb"/>
          </w:tcPr>
          <w:p>
            <w:pPr>
              <w:widowControl w:val="off"/>
              <w:rPr>
                <w:rFonts w:eastAsia="Calibri"/>
                <w:color w:val="ffffff"/>
                <w:sz w:val="22"/>
                <w:szCs w:val="22"/>
              </w:rPr>
            </w:pPr>
            <w:r>
              <w:rPr>
                <w:rFonts w:eastAsia="Calibri"/>
                <w:color w:val="ffffff"/>
                <w:sz w:val="22"/>
                <w:szCs w:val="22"/>
              </w:rPr>
            </w:r>
            <w:r>
              <w:rPr>
                <w:rFonts w:eastAsia="Calibri"/>
                <w:color w:val="ffffff"/>
                <w:sz w:val="22"/>
                <w:szCs w:val="22"/>
              </w:rPr>
            </w:r>
            <w:r>
              <w:rPr>
                <w:rFonts w:eastAsia="Calibri"/>
                <w:color w:val="ffffff"/>
                <w:sz w:val="22"/>
                <w:szCs w:val="22"/>
              </w:rPr>
            </w:r>
          </w:p>
        </w:tc>
      </w:tr>
      <w:tr>
        <w:trPr/>
        <w:tblPrEx/>
        <w:tc>
          <w:tcPr>
            <w:tcW w:w="248" w:type="dxa"/>
            <w:noWrap w:val="false"/>
            <w:textDirection w:val="lrTb"/>
          </w:tcPr>
          <w:p>
            <w:pPr>
              <w:pStyle w:val="896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widowControl w:val="off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На №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25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568" w:type="dxa"/>
            <w:noWrap w:val="false"/>
            <w:textDirection w:val="lrTb"/>
          </w:tcPr>
          <w:p>
            <w:pPr>
              <w:widowControl w:val="off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452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widowControl w:val="off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595" w:type="dxa"/>
            <w:gridSpan w:val="3"/>
            <w:noWrap w:val="false"/>
            <w:textDirection w:val="lrTb"/>
          </w:tcPr>
          <w:p>
            <w:pPr>
              <w:widowControl w:val="o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</w:tbl>
    <w:p>
      <w:pPr>
        <w:ind w:right="201"/>
        <w:jc w:val="both"/>
      </w:pPr>
    </w:p>
    <w:p>
      <w:pPr>
        <w:ind w:right="20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информации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right="20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right="20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right="201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Контрольное управление Новосибирской области действующими нормативными правовыми актами Новосибирской области не наделено полномочиями по официальному разъяснению и толкованию </w:t>
      </w:r>
      <w:r>
        <w:rPr>
          <w:sz w:val="27"/>
          <w:szCs w:val="27"/>
        </w:rPr>
        <w:t xml:space="preserve">законодательства Российской Федерации, в том числе</w:t>
      </w:r>
      <w:r>
        <w:rPr>
          <w:rFonts w:eastAsia="Calibri"/>
          <w:sz w:val="27"/>
          <w:szCs w:val="27"/>
          <w:lang w:eastAsia="en-US"/>
        </w:rPr>
        <w:t xml:space="preserve"> Федерального закона от 05.04.</w:t>
      </w:r>
      <w:r>
        <w:rPr>
          <w:rFonts w:eastAsia="Calibri"/>
          <w:sz w:val="27"/>
          <w:szCs w:val="27"/>
          <w:lang w:eastAsia="en-US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Однако, считаем возможным выразить свое мнение относительно</w:t>
      </w:r>
      <w:r>
        <w:rPr>
          <w:sz w:val="27"/>
          <w:szCs w:val="27"/>
        </w:rPr>
        <w:t xml:space="preserve"> Вашего обращения по вопросу о в</w:t>
      </w:r>
      <w:r>
        <w:rPr>
          <w:sz w:val="27"/>
          <w:szCs w:val="27"/>
        </w:rPr>
        <w:t xml:space="preserve">озможности применения скан-копий коммерческих предложений от поставщиков в целях обоснования начальной (максимальной) цены контракта (далее – обоснование НМЦК).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shd w:val="clear" w:color="ffffff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Н</w:t>
      </w:r>
      <w:r>
        <w:rPr>
          <w:sz w:val="27"/>
          <w:szCs w:val="27"/>
        </w:rPr>
        <w:t xml:space="preserve">ачальная (максимальная) цена контракта, </w:t>
      </w:r>
      <w:r>
        <w:rPr>
          <w:color w:val="000000"/>
          <w:sz w:val="27"/>
          <w:szCs w:val="27"/>
          <w:highlight w:val="white"/>
        </w:rPr>
        <w:t xml:space="preserve">цена контракта, заключаемого с единственным поставщико</w:t>
      </w:r>
      <w:r>
        <w:rPr>
          <w:color w:val="000000"/>
          <w:sz w:val="27"/>
          <w:szCs w:val="27"/>
          <w:highlight w:val="white"/>
        </w:rPr>
        <w:t xml:space="preserve">м (подрядчиком, исполнителем), начальная сумма цен единиц товара, работы, услуги</w:t>
      </w:r>
      <w:r>
        <w:rPr>
          <w:color w:val="000000" w:themeColor="text1"/>
          <w:sz w:val="27"/>
          <w:szCs w:val="27"/>
        </w:rPr>
        <w:t xml:space="preserve"> определяется и обосновывается на основании положений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статьи 22</w:t>
      </w:r>
      <w:r>
        <w:rPr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sz w:val="27"/>
          <w:szCs w:val="27"/>
          <w:lang w:eastAsia="en-US"/>
        </w:rPr>
        <w:t xml:space="preserve">Федерального закона № 44-ФЗ</w:t>
      </w:r>
      <w:r>
        <w:rPr>
          <w:color w:val="000000" w:themeColor="text1"/>
          <w:sz w:val="27"/>
          <w:szCs w:val="27"/>
        </w:rPr>
        <w:t xml:space="preserve">.</w:t>
      </w:r>
      <w:r>
        <w:rPr>
          <w:color w:val="000000" w:themeColor="text1"/>
          <w:sz w:val="27"/>
          <w:szCs w:val="27"/>
        </w:rPr>
      </w:r>
      <w:r>
        <w:rPr>
          <w:color w:val="000000" w:themeColor="text1"/>
          <w:sz w:val="27"/>
          <w:szCs w:val="27"/>
        </w:rPr>
      </w:r>
    </w:p>
    <w:p>
      <w:pPr>
        <w:shd w:val="clear" w:color="ffffff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 соответствии с частью 20 статьи 22 </w:t>
      </w:r>
      <w:r>
        <w:rPr>
          <w:rFonts w:eastAsia="Calibri"/>
          <w:sz w:val="27"/>
          <w:szCs w:val="27"/>
          <w:lang w:eastAsia="en-US"/>
        </w:rPr>
        <w:t xml:space="preserve">Федерального закона № 44-ФЗ</w:t>
      </w:r>
      <w:r>
        <w:rPr>
          <w:color w:val="000000" w:themeColor="text1"/>
          <w:sz w:val="27"/>
          <w:szCs w:val="27"/>
        </w:rPr>
        <w:t xml:space="preserve"> приказом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Минэконом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развития России от 02.10.2013 № 567</w:t>
      </w:r>
      <w:r>
        <w:rPr>
          <w:color w:val="000000" w:themeColor="text1"/>
          <w:sz w:val="27"/>
          <w:szCs w:val="27"/>
        </w:rPr>
        <w:t xml:space="preserve"> утверждены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– Методические ре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комендации)</w:t>
      </w:r>
      <w:r>
        <w:rPr>
          <w:color w:val="000000" w:themeColor="text1"/>
          <w:sz w:val="27"/>
          <w:szCs w:val="27"/>
        </w:rPr>
        <w:t xml:space="preserve">.</w:t>
      </w:r>
      <w:r>
        <w:rPr>
          <w:color w:val="000000" w:themeColor="text1"/>
          <w:sz w:val="27"/>
          <w:szCs w:val="27"/>
        </w:rPr>
      </w:r>
      <w:r>
        <w:rPr>
          <w:color w:val="000000" w:themeColor="text1"/>
          <w:sz w:val="27"/>
          <w:szCs w:val="27"/>
        </w:rPr>
      </w:r>
    </w:p>
    <w:p>
      <w:pPr>
        <w:shd w:val="clear" w:color="ffffff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</w:t>
      </w:r>
      <w:r>
        <w:rPr>
          <w:color w:val="000000" w:themeColor="text1"/>
          <w:sz w:val="27"/>
          <w:szCs w:val="27"/>
          <w:highlight w:val="white"/>
        </w:rPr>
        <w:t xml:space="preserve">огласно части 6 статьи 22 </w:t>
      </w:r>
      <w:r>
        <w:rPr>
          <w:rFonts w:eastAsia="Calibri"/>
          <w:sz w:val="27"/>
          <w:szCs w:val="27"/>
          <w:lang w:eastAsia="en-US"/>
        </w:rPr>
        <w:t xml:space="preserve">Федерального закона № 44-ФЗ</w:t>
      </w:r>
      <w:r>
        <w:rPr>
          <w:color w:val="000000" w:themeColor="text1"/>
          <w:sz w:val="27"/>
          <w:szCs w:val="27"/>
          <w:highlight w:val="white"/>
        </w:rPr>
        <w:t xml:space="preserve"> метод сопоставимых рыночных цен (анализа рынка) является приоритетным для определения и обоснования НМЦК</w:t>
      </w:r>
      <w:r>
        <w:rPr>
          <w:color w:val="000000" w:themeColor="text1"/>
          <w:sz w:val="27"/>
          <w:szCs w:val="27"/>
        </w:rPr>
      </w:r>
      <w:r>
        <w:rPr>
          <w:color w:val="000000" w:themeColor="text1"/>
          <w:sz w:val="27"/>
          <w:szCs w:val="27"/>
        </w:rPr>
      </w:r>
    </w:p>
    <w:p>
      <w:pPr>
        <w:shd w:val="clear" w:color="ffffff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 целях применения метода сопоставимых рыночных цен (анализа рынка) могут </w:t>
      </w:r>
      <w:r>
        <w:rPr>
          <w:color w:val="000000" w:themeColor="text1"/>
          <w:sz w:val="27"/>
          <w:szCs w:val="27"/>
        </w:rPr>
        <w:t xml:space="preserve">использоваться общедоступная информация о рыночных ценах товаров, работ, услуг в соответствии с частью 18 статьи 22</w:t>
      </w:r>
      <w:hyperlink r:id="rId13" w:tooltip="https://login.consultant.ru/link/?req=doc&amp;demo=1&amp;base=LAW&amp;n=200889&amp;date=28.08.2024&amp;dst=100243&amp;field=134" w:history="1">
        <w:r>
          <w:rPr>
            <w:color w:val="000000" w:themeColor="text1"/>
            <w:sz w:val="27"/>
            <w:szCs w:val="27"/>
          </w:rPr>
          <w:t xml:space="preserve"> </w:t>
        </w:r>
        <w:r>
          <w:rPr>
            <w:color w:val="000000" w:themeColor="text1"/>
            <w:sz w:val="27"/>
            <w:szCs w:val="27"/>
            <w:lang w:eastAsia="en-US"/>
          </w:rPr>
          <w:t xml:space="preserve"> </w:t>
        </w:r>
      </w:hyperlink>
      <w:r>
        <w:rPr>
          <w:rFonts w:ascii="PT Astra Serif" w:hAnsi="PT Astra Serif" w:eastAsia="PT Astra Serif" w:cs="PT Astra Serif"/>
          <w:sz w:val="27"/>
          <w:szCs w:val="27"/>
          <w:lang w:eastAsia="en-US"/>
        </w:rPr>
        <w:t xml:space="preserve">Федерального закона № 44-ФЗ</w:t>
      </w:r>
      <w:r>
        <w:rPr>
          <w:color w:val="000000" w:themeColor="text1"/>
          <w:sz w:val="27"/>
          <w:szCs w:val="27"/>
        </w:rPr>
        <w:t xml:space="preserve">, информация о ценах товаров, работ, услуг, полученная  по запросу заказчика у поставщиков </w:t>
      </w:r>
      <w:r>
        <w:rPr>
          <w:color w:val="000000" w:themeColor="text1"/>
          <w:sz w:val="27"/>
          <w:szCs w:val="27"/>
        </w:rPr>
        <w:t xml:space="preserve">(подрядчиков, исполнителей), осуществляющих п</w:t>
      </w:r>
      <w:r>
        <w:rPr>
          <w:color w:val="000000" w:themeColor="text1"/>
          <w:sz w:val="27"/>
          <w:szCs w:val="27"/>
        </w:rPr>
        <w:t xml:space="preserve">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 (часть 5 ста</w:t>
      </w:r>
      <w:r>
        <w:rPr>
          <w:color w:val="000000" w:themeColor="text1"/>
          <w:sz w:val="27"/>
          <w:szCs w:val="27"/>
        </w:rPr>
        <w:t xml:space="preserve">тьи 22 Федерального закона № 44-ФЗ). </w:t>
      </w:r>
      <w:r>
        <w:rPr>
          <w:color w:val="000000" w:themeColor="text1"/>
          <w:sz w:val="27"/>
          <w:szCs w:val="27"/>
        </w:rPr>
      </w:r>
      <w:r>
        <w:rPr>
          <w:color w:val="000000" w:themeColor="text1"/>
          <w:sz w:val="27"/>
          <w:szCs w:val="27"/>
        </w:rPr>
      </w:r>
    </w:p>
    <w:p>
      <w:pPr>
        <w:shd w:val="clear" w:color="ffffff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Для определения и обоснования начальной (максимальной) цены контракта заказчик вправе использовать не только предусмотренный в </w:t>
      </w:r>
      <w:hyperlink r:id="rId14" w:tooltip="https://login.consultant.ru/link/?req=doc&amp;demo=1&amp;base=LAW&amp;n=200889&amp;date=28.08.2024&amp;dst=100245&amp;field=134" w:history="1">
        <w:r>
          <w:rPr>
            <w:rStyle w:val="841"/>
            <w:color w:val="000000" w:themeColor="text1"/>
            <w:sz w:val="27"/>
            <w:szCs w:val="27"/>
            <w:u w:val="none"/>
          </w:rPr>
          <w:t xml:space="preserve">пункте 2 части 18 статьи 22</w:t>
        </w:r>
      </w:hyperlink>
      <w:r>
        <w:rPr>
          <w:color w:val="000000" w:themeColor="text1"/>
          <w:sz w:val="27"/>
          <w:szCs w:val="27"/>
        </w:rPr>
        <w:t xml:space="preserve"> Федерального закона № 44-ФЗ источник в виде информации о ценах товаров, работ, услуг, с</w:t>
      </w:r>
      <w:r>
        <w:rPr>
          <w:color w:val="000000" w:themeColor="text1"/>
          <w:sz w:val="27"/>
          <w:szCs w:val="27"/>
        </w:rPr>
        <w:t xml:space="preserve">одержащейся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офертами, но и иные источники информации, которые соответствуют сущ</w:t>
      </w:r>
      <w:r>
        <w:rPr>
          <w:color w:val="000000" w:themeColor="text1"/>
          <w:sz w:val="27"/>
          <w:szCs w:val="27"/>
        </w:rPr>
        <w:t xml:space="preserve">ественным характеристикам применяемого метода сопоставимых рыночных цен (анализа рынка). </w:t>
      </w:r>
      <w:r>
        <w:rPr>
          <w:color w:val="000000" w:themeColor="text1"/>
          <w:sz w:val="27"/>
          <w:szCs w:val="27"/>
        </w:rPr>
      </w:r>
      <w:r>
        <w:rPr>
          <w:color w:val="000000" w:themeColor="text1"/>
          <w:sz w:val="27"/>
          <w:szCs w:val="27"/>
        </w:rPr>
      </w:r>
    </w:p>
    <w:p>
      <w:pPr>
        <w:shd w:val="clear" w:color="ffffff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При этом, Федеральный закон</w:t>
      </w:r>
      <w:r>
        <w:rPr>
          <w:color w:val="000000" w:themeColor="text1"/>
          <w:sz w:val="27"/>
          <w:szCs w:val="27"/>
          <w:highlight w:val="white"/>
        </w:rPr>
        <w:t xml:space="preserve"> № 44-ФЗ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 не содержит</w:t>
      </w:r>
      <w:r>
        <w:rPr>
          <w:color w:val="000000" w:themeColor="text1"/>
          <w:sz w:val="27"/>
          <w:szCs w:val="27"/>
        </w:rPr>
        <w:t xml:space="preserve"> требований к форме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коммерческих предложений</w:t>
      </w:r>
      <w:r>
        <w:rPr>
          <w:color w:val="000000" w:themeColor="text1"/>
          <w:sz w:val="27"/>
          <w:szCs w:val="27"/>
        </w:rPr>
        <w:t xml:space="preserve"> и способу их получения заказчиком от 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поставщиков (подрядчиков, исполнителе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й)</w:t>
      </w:r>
      <w:r>
        <w:rPr>
          <w:color w:val="000000" w:themeColor="text1"/>
          <w:sz w:val="27"/>
          <w:szCs w:val="27"/>
        </w:rPr>
        <w:t xml:space="preserve">.</w:t>
      </w:r>
      <w:r>
        <w:rPr>
          <w:color w:val="000000" w:themeColor="text1"/>
          <w:sz w:val="27"/>
          <w:szCs w:val="27"/>
        </w:rPr>
      </w:r>
      <w:r>
        <w:rPr>
          <w:color w:val="000000" w:themeColor="text1"/>
          <w:sz w:val="27"/>
          <w:szCs w:val="27"/>
        </w:rPr>
      </w:r>
    </w:p>
    <w:p>
      <w:pPr>
        <w:shd w:val="clear" w:color="ffffff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  <w:highlight w:val="white"/>
        </w:rPr>
        <w:t xml:space="preserve">Таким образом, заказчик вправе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 статьи 22 </w:t>
      </w:r>
      <w:r>
        <w:rPr>
          <w:color w:val="000000" w:themeColor="text1"/>
          <w:sz w:val="27"/>
          <w:szCs w:val="27"/>
        </w:rPr>
        <w:t xml:space="preserve">Федерального закона</w:t>
      </w:r>
      <w:r>
        <w:rPr>
          <w:color w:val="000000" w:themeColor="text1"/>
          <w:sz w:val="27"/>
          <w:szCs w:val="27"/>
          <w:highlight w:val="white"/>
        </w:rPr>
        <w:t xml:space="preserve"> № 44-ФЗ.</w:t>
      </w:r>
      <w:r>
        <w:rPr>
          <w:color w:val="000000" w:themeColor="text1"/>
          <w:sz w:val="27"/>
          <w:szCs w:val="27"/>
        </w:rPr>
      </w:r>
      <w:r>
        <w:rPr>
          <w:color w:val="000000" w:themeColor="text1"/>
          <w:sz w:val="27"/>
          <w:szCs w:val="27"/>
        </w:rPr>
      </w:r>
    </w:p>
    <w:p>
      <w:pPr>
        <w:shd w:val="clear" w:color="ffffff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Так же,</w:t>
      </w:r>
      <w:r>
        <w:rPr>
          <w:color w:val="000000" w:themeColor="text1"/>
          <w:sz w:val="27"/>
          <w:szCs w:val="27"/>
        </w:rPr>
        <w:t xml:space="preserve"> Федеральный закон</w:t>
      </w:r>
      <w:r>
        <w:rPr>
          <w:color w:val="000000" w:themeColor="text1"/>
          <w:sz w:val="27"/>
          <w:szCs w:val="27"/>
          <w:highlight w:val="white"/>
        </w:rPr>
        <w:t xml:space="preserve"> № 44-ФЗ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 не содержит норм, определяющих понятие - оригинал коммерческих предложений, на основании которых была сформирована цена контракта, а так же не содержит запрета на использование для обоснования НМЦК коммерческих предложений постав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щиков (подрядчиков, исполнителей), поступивших на электронную почту заказчика в виде сканированных документов или с использованием факсимильной связи. Аналогичная позиция изложена в письме Министерства финансов Российской Федерации от 25.02.2020 № 24-01-08</w:t>
      </w:r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  <w:t xml:space="preserve">/13316.</w:t>
      </w:r>
      <w:r>
        <w:rPr>
          <w:color w:val="000000" w:themeColor="text1"/>
          <w:sz w:val="27"/>
          <w:szCs w:val="27"/>
        </w:rPr>
      </w:r>
      <w:r>
        <w:rPr>
          <w:color w:val="000000" w:themeColor="text1"/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Обращаем Ваше внимание, что в соответствии с пунктом 3.12. Методических рекомендаций все документы, содержащие ценовую информацию, полученные по запросам, предусмотренным пунктами 3.7.1 и 3.7.2 Методических рекомендаций, рекомендуется </w:t>
      </w:r>
      <w:r>
        <w:rPr>
          <w:color w:val="000000"/>
          <w:sz w:val="27"/>
          <w:szCs w:val="27"/>
          <w:highlight w:val="white"/>
        </w:rPr>
        <w:t xml:space="preserve">регистрироват</w:t>
      </w:r>
      <w:r>
        <w:rPr>
          <w:color w:val="000000"/>
          <w:sz w:val="27"/>
          <w:szCs w:val="27"/>
          <w:highlight w:val="white"/>
        </w:rPr>
        <w:t xml:space="preserve">ь в делопроизводстве заказчика, уполномоченного органа, уполномоченного учреждения и использовать в расчетах НМЦК.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8112760</wp:posOffset>
                </wp:positionV>
                <wp:extent cx="2991485" cy="1656080"/>
                <wp:effectExtent l="0" t="0" r="0" b="0"/>
                <wp:wrapNone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991485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false;mso-position-horizontal-relative:page;margin-left:213.60pt;mso-position-horizontal:absolute;mso-position-vertical-relative:page;margin-top:638.80pt;mso-position-vertical:absolute;width:235.55pt;height:130.4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7"/>
          <w:szCs w:val="27"/>
        </w:rPr>
        <w:t xml:space="preserve">Начальник управления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</w:t>
      </w:r>
      <w:r>
        <w:rPr>
          <w:sz w:val="27"/>
          <w:szCs w:val="27"/>
        </w:rPr>
        <w:t xml:space="preserve">С.Л. Шарпф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r>
        <w:rPr>
          <w:color w:val="ffffff"/>
        </w:rPr>
        <w:t xml:space="preserve">                                              [МЕСТО ДЛЯ ПОДПИС</w:t>
      </w:r>
    </w:p>
    <w:p>
      <w:pPr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О.С. Рогожина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2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238-63-99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201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91" w:right="567" w:bottom="822" w:left="1417" w:header="1134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Mangal">
    <w:panose1 w:val="02040503050406030204"/>
  </w:font>
  <w:font w:name="PT Astra Serif">
    <w:panose1 w:val="020A0603040505020204"/>
  </w:font>
  <w:font w:name="Arial">
    <w:panose1 w:val="020B0604020202020204"/>
  </w:font>
  <w:font w:name="Arial Unicode MS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71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4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0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1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2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3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4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5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6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4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5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footnote reference"/>
    <w:basedOn w:val="822"/>
    <w:uiPriority w:val="99"/>
    <w:unhideWhenUsed/>
    <w:rPr>
      <w:vertAlign w:val="superscript"/>
    </w:rPr>
  </w:style>
  <w:style w:type="character" w:styleId="811">
    <w:name w:val="endnote reference"/>
    <w:basedOn w:val="822"/>
    <w:uiPriority w:val="99"/>
    <w:semiHidden/>
    <w:unhideWhenUsed/>
    <w:rPr>
      <w:vertAlign w:val="superscript"/>
    </w:rPr>
  </w:style>
  <w:style w:type="paragraph" w:styleId="812" w:default="1">
    <w:name w:val="Normal"/>
    <w:qFormat/>
    <w:rPr>
      <w:rFonts w:eastAsia="Times New Roman" w:cs="Times New Roman"/>
      <w:sz w:val="28"/>
      <w:szCs w:val="28"/>
      <w:lang w:bidi="ar-SA"/>
    </w:rPr>
  </w:style>
  <w:style w:type="paragraph" w:styleId="813">
    <w:name w:val="Heading 1"/>
    <w:basedOn w:val="8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4">
    <w:name w:val="Heading 2"/>
    <w:basedOn w:val="81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15">
    <w:name w:val="Heading 3"/>
    <w:basedOn w:val="81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6">
    <w:name w:val="Heading 4"/>
    <w:basedOn w:val="81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7">
    <w:name w:val="Heading 5"/>
    <w:basedOn w:val="81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8">
    <w:name w:val="Heading 6"/>
    <w:basedOn w:val="81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9">
    <w:name w:val="Heading 7"/>
    <w:basedOn w:val="81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81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81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character" w:styleId="825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26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27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28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29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0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1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2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3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4" w:customStyle="1">
    <w:name w:val="Title Char"/>
    <w:uiPriority w:val="10"/>
    <w:qFormat/>
    <w:rPr>
      <w:sz w:val="48"/>
      <w:szCs w:val="48"/>
    </w:rPr>
  </w:style>
  <w:style w:type="character" w:styleId="835" w:customStyle="1">
    <w:name w:val="Subtitle Char"/>
    <w:uiPriority w:val="11"/>
    <w:qFormat/>
    <w:rPr>
      <w:sz w:val="24"/>
      <w:szCs w:val="24"/>
    </w:rPr>
  </w:style>
  <w:style w:type="character" w:styleId="836" w:customStyle="1">
    <w:name w:val="Quote Char"/>
    <w:uiPriority w:val="29"/>
    <w:qFormat/>
    <w:rPr>
      <w:i/>
    </w:rPr>
  </w:style>
  <w:style w:type="character" w:styleId="837" w:customStyle="1">
    <w:name w:val="Intense Quote Char"/>
    <w:uiPriority w:val="30"/>
    <w:qFormat/>
    <w:rPr>
      <w:i/>
    </w:rPr>
  </w:style>
  <w:style w:type="character" w:styleId="838" w:customStyle="1">
    <w:name w:val="Header Char"/>
    <w:uiPriority w:val="99"/>
    <w:qFormat/>
  </w:style>
  <w:style w:type="character" w:styleId="839" w:customStyle="1">
    <w:name w:val="Footer Char"/>
    <w:uiPriority w:val="99"/>
    <w:qFormat/>
  </w:style>
  <w:style w:type="character" w:styleId="840" w:customStyle="1">
    <w:name w:val="Caption Char"/>
    <w:uiPriority w:val="99"/>
    <w:qFormat/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character" w:styleId="842" w:customStyle="1">
    <w:name w:val="Footnote Text Char"/>
    <w:uiPriority w:val="99"/>
    <w:qFormat/>
    <w:rPr>
      <w:sz w:val="18"/>
    </w:rPr>
  </w:style>
  <w:style w:type="character" w:styleId="843" w:customStyle="1">
    <w:name w:val="Footnote Characters"/>
    <w:uiPriority w:val="99"/>
    <w:unhideWhenUsed/>
    <w:qFormat/>
    <w:rPr>
      <w:vertAlign w:val="superscript"/>
    </w:rPr>
  </w:style>
  <w:style w:type="character" w:styleId="844" w:customStyle="1">
    <w:name w:val="Footnote Anchor"/>
    <w:rPr>
      <w:vertAlign w:val="superscript"/>
    </w:rPr>
  </w:style>
  <w:style w:type="character" w:styleId="845" w:customStyle="1">
    <w:name w:val="Endnote Text Char"/>
    <w:uiPriority w:val="99"/>
    <w:qFormat/>
    <w:rPr>
      <w:sz w:val="20"/>
    </w:rPr>
  </w:style>
  <w:style w:type="character" w:styleId="846" w:customStyle="1">
    <w:name w:val="Endnote Characters"/>
    <w:uiPriority w:val="99"/>
    <w:semiHidden/>
    <w:unhideWhenUsed/>
    <w:qFormat/>
    <w:rPr>
      <w:vertAlign w:val="superscript"/>
    </w:rPr>
  </w:style>
  <w:style w:type="character" w:styleId="847" w:customStyle="1">
    <w:name w:val="Endnote Anchor"/>
    <w:rPr>
      <w:vertAlign w:val="superscript"/>
    </w:rPr>
  </w:style>
  <w:style w:type="character" w:styleId="848" w:customStyle="1">
    <w:name w:val="Верхний колонтитул Знак"/>
    <w:qFormat/>
    <w:rPr>
      <w:sz w:val="28"/>
      <w:szCs w:val="28"/>
      <w:lang w:val="ru-RU" w:bidi="ar-SA"/>
    </w:rPr>
  </w:style>
  <w:style w:type="character" w:styleId="849" w:customStyle="1">
    <w:name w:val="Интернет-ссылка"/>
    <w:qFormat/>
    <w:rPr>
      <w:rFonts w:cs="Times New Roman"/>
      <w:color w:val="0000ff"/>
      <w:u w:val="single"/>
    </w:rPr>
  </w:style>
  <w:style w:type="character" w:styleId="850" w:customStyle="1">
    <w:name w:val="Основной текст 2 Знак"/>
    <w:qFormat/>
    <w:rPr>
      <w:sz w:val="28"/>
      <w:szCs w:val="28"/>
      <w:lang w:val="ru-RU" w:bidi="ar-SA"/>
    </w:rPr>
  </w:style>
  <w:style w:type="character" w:styleId="851" w:customStyle="1">
    <w:name w:val="Основной текст 3 Знак"/>
    <w:qFormat/>
    <w:rPr>
      <w:b/>
      <w:bCs/>
      <w:sz w:val="28"/>
      <w:szCs w:val="28"/>
      <w:lang w:val="ru-RU" w:bidi="ar-SA"/>
    </w:rPr>
  </w:style>
  <w:style w:type="character" w:styleId="852" w:customStyle="1">
    <w:name w:val="Знак Знак4"/>
    <w:qFormat/>
    <w:rPr>
      <w:rFonts w:ascii="Times New Roman" w:hAnsi="Times New Roman" w:eastAsia="Times New Roman" w:cs="Times New Roman"/>
      <w:sz w:val="28"/>
      <w:szCs w:val="28"/>
    </w:rPr>
  </w:style>
  <w:style w:type="character" w:styleId="853" w:customStyle="1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854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855" w:customStyle="1">
    <w:name w:val="Нижний колонтитул Знак"/>
    <w:qFormat/>
    <w:rPr>
      <w:sz w:val="28"/>
      <w:szCs w:val="28"/>
    </w:rPr>
  </w:style>
  <w:style w:type="character" w:styleId="856" w:customStyle="1">
    <w:name w:val="Основной текст Знак"/>
    <w:qFormat/>
    <w:rPr>
      <w:sz w:val="28"/>
      <w:szCs w:val="28"/>
    </w:rPr>
  </w:style>
  <w:style w:type="character" w:styleId="857" w:customStyle="1">
    <w:name w:val="Основной текст1"/>
    <w:qFormat/>
    <w:rPr>
      <w:rFonts w:ascii="Times New Roman" w:hAnsi="Times New Roman" w:eastAsia="Times New Roman" w:cs="Times New Roman"/>
      <w:color w:val="000000"/>
      <w:spacing w:val="0"/>
      <w:position w:val="0"/>
      <w:sz w:val="26"/>
      <w:szCs w:val="26"/>
      <w:shd w:val="clear" w:color="auto" w:fill="ffffff"/>
      <w:vertAlign w:val="baseline"/>
      <w:lang w:val="ru-RU"/>
    </w:rPr>
  </w:style>
  <w:style w:type="character" w:styleId="858" w:customStyle="1">
    <w:name w:val="Гиперссылка1"/>
    <w:uiPriority w:val="99"/>
    <w:qFormat/>
    <w:rPr>
      <w:rFonts w:cs="Times New Roman"/>
      <w:color w:val="0000ff"/>
      <w:u w:val="single"/>
    </w:rPr>
  </w:style>
  <w:style w:type="paragraph" w:styleId="859" w:customStyle="1">
    <w:name w:val="Heading"/>
    <w:basedOn w:val="812"/>
    <w:next w:val="860"/>
    <w:qFormat/>
    <w:pPr>
      <w:keepNext/>
      <w:spacing w:before="240" w:after="120"/>
    </w:pPr>
    <w:rPr>
      <w:rFonts w:ascii="Liberation Sans" w:hAnsi="Liberation Sans" w:eastAsia="Microsoft YaHei" w:cs="Mangal"/>
    </w:rPr>
  </w:style>
  <w:style w:type="paragraph" w:styleId="860">
    <w:name w:val="Body Text"/>
    <w:basedOn w:val="812"/>
    <w:qFormat/>
    <w:pPr>
      <w:spacing w:after="120"/>
    </w:pPr>
  </w:style>
  <w:style w:type="paragraph" w:styleId="861">
    <w:name w:val="List"/>
    <w:basedOn w:val="860"/>
    <w:qFormat/>
    <w:rPr>
      <w:rFonts w:cs="Droid Sans Devanagari"/>
    </w:rPr>
  </w:style>
  <w:style w:type="paragraph" w:styleId="862">
    <w:name w:val="Caption"/>
    <w:basedOn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3" w:customStyle="1">
    <w:name w:val="Index"/>
    <w:basedOn w:val="812"/>
    <w:qFormat/>
    <w:pPr>
      <w:suppressLineNumbers/>
    </w:pPr>
    <w:rPr>
      <w:rFonts w:cs="Mangal"/>
    </w:rPr>
  </w:style>
  <w:style w:type="paragraph" w:styleId="864">
    <w:name w:val="List Paragraph"/>
    <w:basedOn w:val="812"/>
    <w:uiPriority w:val="34"/>
    <w:qFormat/>
    <w:pPr>
      <w:ind w:left="720"/>
      <w:contextualSpacing/>
    </w:pPr>
  </w:style>
  <w:style w:type="paragraph" w:styleId="865">
    <w:name w:val="No Spacing"/>
    <w:uiPriority w:val="1"/>
    <w:qFormat/>
  </w:style>
  <w:style w:type="paragraph" w:styleId="866">
    <w:name w:val="Title"/>
    <w:basedOn w:val="812"/>
    <w:qFormat/>
    <w:pPr>
      <w:keepNext/>
      <w:spacing w:before="240" w:after="120"/>
    </w:pPr>
    <w:rPr>
      <w:rFonts w:ascii="Liberation Sans" w:hAnsi="Liberation Sans" w:eastAsia="Tahoma" w:cs="Droid Sans Devanagari"/>
    </w:rPr>
  </w:style>
  <w:style w:type="paragraph" w:styleId="867">
    <w:name w:val="Subtitle"/>
    <w:basedOn w:val="812"/>
    <w:uiPriority w:val="11"/>
    <w:qFormat/>
    <w:pPr>
      <w:spacing w:before="200" w:after="200"/>
    </w:pPr>
    <w:rPr>
      <w:sz w:val="24"/>
      <w:szCs w:val="24"/>
    </w:rPr>
  </w:style>
  <w:style w:type="paragraph" w:styleId="868">
    <w:name w:val="Quote"/>
    <w:basedOn w:val="812"/>
    <w:uiPriority w:val="29"/>
    <w:qFormat/>
    <w:pPr>
      <w:ind w:left="720" w:right="720"/>
    </w:pPr>
    <w:rPr>
      <w:i/>
    </w:rPr>
  </w:style>
  <w:style w:type="paragraph" w:styleId="869">
    <w:name w:val="Intense Quote"/>
    <w:basedOn w:val="81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870" w:customStyle="1">
    <w:name w:val="Header and Footer"/>
    <w:basedOn w:val="812"/>
    <w:qFormat/>
  </w:style>
  <w:style w:type="paragraph" w:styleId="871">
    <w:name w:val="Header"/>
    <w:basedOn w:val="812"/>
    <w:qFormat/>
    <w:pPr>
      <w:tabs>
        <w:tab w:val="center" w:pos="4153" w:leader="none"/>
        <w:tab w:val="right" w:pos="8306" w:leader="none"/>
      </w:tabs>
    </w:pPr>
  </w:style>
  <w:style w:type="paragraph" w:styleId="872">
    <w:name w:val="Footer"/>
    <w:basedOn w:val="812"/>
    <w:qFormat/>
    <w:pPr>
      <w:tabs>
        <w:tab w:val="center" w:pos="4677" w:leader="none"/>
        <w:tab w:val="right" w:pos="9355" w:leader="none"/>
      </w:tabs>
    </w:pPr>
  </w:style>
  <w:style w:type="paragraph" w:styleId="873">
    <w:name w:val="footnote text"/>
    <w:basedOn w:val="812"/>
    <w:uiPriority w:val="99"/>
    <w:semiHidden/>
    <w:unhideWhenUsed/>
    <w:pPr>
      <w:spacing w:after="40"/>
    </w:pPr>
    <w:rPr>
      <w:sz w:val="18"/>
    </w:rPr>
  </w:style>
  <w:style w:type="paragraph" w:styleId="874">
    <w:name w:val="endnote text"/>
    <w:basedOn w:val="812"/>
    <w:uiPriority w:val="99"/>
    <w:semiHidden/>
    <w:unhideWhenUsed/>
    <w:rPr>
      <w:sz w:val="20"/>
    </w:rPr>
  </w:style>
  <w:style w:type="paragraph" w:styleId="875">
    <w:name w:val="toc 1"/>
    <w:basedOn w:val="812"/>
    <w:uiPriority w:val="39"/>
    <w:unhideWhenUsed/>
    <w:pPr>
      <w:spacing w:after="57"/>
    </w:pPr>
  </w:style>
  <w:style w:type="paragraph" w:styleId="876">
    <w:name w:val="toc 2"/>
    <w:basedOn w:val="812"/>
    <w:uiPriority w:val="39"/>
    <w:unhideWhenUsed/>
    <w:pPr>
      <w:spacing w:after="57"/>
      <w:ind w:left="283"/>
    </w:pPr>
  </w:style>
  <w:style w:type="paragraph" w:styleId="877">
    <w:name w:val="toc 3"/>
    <w:basedOn w:val="812"/>
    <w:uiPriority w:val="39"/>
    <w:unhideWhenUsed/>
    <w:pPr>
      <w:spacing w:after="57"/>
      <w:ind w:left="567"/>
    </w:pPr>
  </w:style>
  <w:style w:type="paragraph" w:styleId="878">
    <w:name w:val="toc 4"/>
    <w:basedOn w:val="812"/>
    <w:uiPriority w:val="39"/>
    <w:unhideWhenUsed/>
    <w:pPr>
      <w:spacing w:after="57"/>
      <w:ind w:left="850"/>
    </w:pPr>
  </w:style>
  <w:style w:type="paragraph" w:styleId="879">
    <w:name w:val="toc 5"/>
    <w:basedOn w:val="812"/>
    <w:uiPriority w:val="39"/>
    <w:unhideWhenUsed/>
    <w:pPr>
      <w:spacing w:after="57"/>
      <w:ind w:left="1134"/>
    </w:pPr>
  </w:style>
  <w:style w:type="paragraph" w:styleId="880">
    <w:name w:val="toc 6"/>
    <w:basedOn w:val="812"/>
    <w:uiPriority w:val="39"/>
    <w:unhideWhenUsed/>
    <w:pPr>
      <w:spacing w:after="57"/>
      <w:ind w:left="1417"/>
    </w:pPr>
  </w:style>
  <w:style w:type="paragraph" w:styleId="881">
    <w:name w:val="toc 7"/>
    <w:basedOn w:val="812"/>
    <w:uiPriority w:val="39"/>
    <w:unhideWhenUsed/>
    <w:pPr>
      <w:spacing w:after="57"/>
      <w:ind w:left="1701"/>
    </w:pPr>
  </w:style>
  <w:style w:type="paragraph" w:styleId="882">
    <w:name w:val="toc 8"/>
    <w:basedOn w:val="812"/>
    <w:uiPriority w:val="39"/>
    <w:unhideWhenUsed/>
    <w:pPr>
      <w:spacing w:after="57"/>
      <w:ind w:left="1984"/>
    </w:pPr>
  </w:style>
  <w:style w:type="paragraph" w:styleId="883">
    <w:name w:val="toc 9"/>
    <w:basedOn w:val="812"/>
    <w:uiPriority w:val="39"/>
    <w:unhideWhenUsed/>
    <w:pPr>
      <w:spacing w:after="57"/>
      <w:ind w:left="2268"/>
    </w:pPr>
  </w:style>
  <w:style w:type="paragraph" w:styleId="884">
    <w:name w:val="index heading"/>
    <w:basedOn w:val="812"/>
    <w:qFormat/>
    <w:pPr>
      <w:suppressLineNumbers/>
    </w:pPr>
    <w:rPr>
      <w:rFonts w:cs="Droid Sans Devanagari"/>
    </w:rPr>
  </w:style>
  <w:style w:type="paragraph" w:styleId="885">
    <w:name w:val="TOC Heading"/>
    <w:uiPriority w:val="39"/>
    <w:unhideWhenUsed/>
  </w:style>
  <w:style w:type="paragraph" w:styleId="886">
    <w:name w:val="table of figures"/>
    <w:basedOn w:val="812"/>
    <w:uiPriority w:val="99"/>
    <w:unhideWhenUsed/>
    <w:qFormat/>
  </w:style>
  <w:style w:type="paragraph" w:styleId="887" w:customStyle="1">
    <w:name w:val="Название"/>
    <w:basedOn w:val="812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888" w:customStyle="1">
    <w:name w:val="Верхний и нижний колонтитулы"/>
    <w:basedOn w:val="812"/>
    <w:qFormat/>
    <w:pPr>
      <w:suppressLineNumbers/>
      <w:tabs>
        <w:tab w:val="center" w:pos="4819" w:leader="none"/>
        <w:tab w:val="right" w:pos="9638" w:leader="none"/>
      </w:tabs>
    </w:pPr>
  </w:style>
  <w:style w:type="paragraph" w:styleId="889">
    <w:name w:val="Body Text 2"/>
    <w:basedOn w:val="812"/>
    <w:qFormat/>
    <w:pPr>
      <w:jc w:val="both"/>
    </w:pPr>
  </w:style>
  <w:style w:type="paragraph" w:styleId="890">
    <w:name w:val="Body Text 3"/>
    <w:basedOn w:val="812"/>
    <w:qFormat/>
    <w:pPr>
      <w:jc w:val="center"/>
    </w:pPr>
    <w:rPr>
      <w:b/>
      <w:bCs/>
    </w:rPr>
  </w:style>
  <w:style w:type="paragraph" w:styleId="891">
    <w:name w:val="Balloon Text"/>
    <w:basedOn w:val="812"/>
    <w:qFormat/>
    <w:rPr>
      <w:rFonts w:ascii="Tahoma" w:hAnsi="Tahoma" w:cs="Tahoma"/>
      <w:sz w:val="16"/>
      <w:szCs w:val="16"/>
    </w:rPr>
  </w:style>
  <w:style w:type="paragraph" w:styleId="892">
    <w:name w:val="Block Text"/>
    <w:basedOn w:val="812"/>
    <w:qFormat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893" w:customStyle="1">
    <w:name w:val="Default"/>
    <w:qFormat/>
    <w:rPr>
      <w:rFonts w:ascii="Calibri" w:hAnsi="Calibri" w:eastAsia="Times New Roman" w:cs="Calibri"/>
      <w:color w:val="000000"/>
      <w:sz w:val="24"/>
      <w:szCs w:val="24"/>
      <w:lang w:bidi="ar-SA"/>
    </w:rPr>
  </w:style>
  <w:style w:type="paragraph" w:styleId="894" w:customStyle="1">
    <w:name w:val="Style5"/>
    <w:basedOn w:val="812"/>
    <w:qFormat/>
    <w:pPr>
      <w:widowControl w:val="off"/>
      <w:spacing w:line="372" w:lineRule="exact"/>
      <w:ind w:firstLine="701"/>
      <w:jc w:val="both"/>
    </w:pPr>
    <w:rPr>
      <w:sz w:val="24"/>
      <w:szCs w:val="24"/>
    </w:rPr>
  </w:style>
  <w:style w:type="paragraph" w:styleId="895" w:customStyle="1">
    <w:name w:val="ConsPlusNormal"/>
    <w:qFormat/>
    <w:pPr>
      <w:widowControl w:val="off"/>
      <w:ind w:firstLine="720"/>
    </w:pPr>
    <w:rPr>
      <w:rFonts w:ascii="Arial" w:hAnsi="Arial" w:eastAsia="Times New Roman" w:cs="Arial"/>
      <w:lang w:bidi="ar-SA"/>
    </w:rPr>
  </w:style>
  <w:style w:type="paragraph" w:styleId="896" w:customStyle="1">
    <w:name w:val="Содержимое таблицы"/>
    <w:basedOn w:val="812"/>
    <w:qFormat/>
    <w:pPr>
      <w:suppressLineNumbers/>
    </w:pPr>
  </w:style>
  <w:style w:type="paragraph" w:styleId="897" w:customStyle="1">
    <w:name w:val="Заголовок таблицы"/>
    <w:basedOn w:val="896"/>
    <w:qFormat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hyperlink" Target="mailto:uk@nso.ru" TargetMode="External"/><Relationship Id="rId12" Type="http://schemas.openxmlformats.org/officeDocument/2006/relationships/hyperlink" Target="http://www.uk.nso.ru/" TargetMode="External"/><Relationship Id="rId13" Type="http://schemas.openxmlformats.org/officeDocument/2006/relationships/hyperlink" Target="https://login.consultant.ru/link/?req=doc&amp;demo=1&amp;base=LAW&amp;n=200889&amp;date=28.08.2024&amp;dst=100243&amp;field=134" TargetMode="External"/><Relationship Id="rId14" Type="http://schemas.openxmlformats.org/officeDocument/2006/relationships/hyperlink" Target="https://login.consultant.ru/link/?req=doc&amp;demo=1&amp;base=LAW&amp;n=200889&amp;date=28.08.2024&amp;dst=100245&amp;field=134" TargetMode="External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dc:description/>
  <dc:language>ru-RU</dc:language>
  <cp:revision>4</cp:revision>
  <dcterms:created xsi:type="dcterms:W3CDTF">2025-01-21T09:49:00Z</dcterms:created>
  <dcterms:modified xsi:type="dcterms:W3CDTF">2025-01-21T09:52:51Z</dcterms:modified>
</cp:coreProperties>
</file>