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3C1" w:rsidRPr="008B617E" w:rsidRDefault="008B617E" w:rsidP="008B617E">
      <w:pPr>
        <w:ind w:left="5664" w:right="201"/>
        <w:jc w:val="both"/>
      </w:pPr>
      <w:bookmarkStart w:id="0" w:name="_GoBack"/>
      <w:bookmarkEnd w:id="0"/>
      <w:r>
        <w:t xml:space="preserve">от 07.03.2025 № </w:t>
      </w:r>
      <w:r w:rsidRPr="008B617E">
        <w:t>02-10/235/39-Вн</w:t>
      </w:r>
    </w:p>
    <w:p w:rsidR="007243C1" w:rsidRPr="008B617E" w:rsidRDefault="007243C1">
      <w:pPr>
        <w:ind w:right="201"/>
        <w:jc w:val="both"/>
      </w:pPr>
    </w:p>
    <w:p w:rsidR="007243C1" w:rsidRPr="008B617E" w:rsidRDefault="008B617E" w:rsidP="008B617E">
      <w:pPr>
        <w:ind w:right="201"/>
        <w:jc w:val="center"/>
        <w:rPr>
          <w:b/>
        </w:rPr>
      </w:pPr>
      <w:r w:rsidRPr="008B617E">
        <w:rPr>
          <w:b/>
        </w:rPr>
        <w:t>О применении отдельных норм постановления Правительства Российской Федерации от 23 декабря 2024 г. № 1875 «О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отдельными видами юридических лиц»</w:t>
      </w:r>
    </w:p>
    <w:p w:rsidR="007243C1" w:rsidRDefault="007243C1">
      <w:pPr>
        <w:ind w:firstLine="709"/>
        <w:jc w:val="both"/>
      </w:pPr>
    </w:p>
    <w:p w:rsidR="007243C1" w:rsidRDefault="0068161A">
      <w:pPr>
        <w:spacing w:after="57"/>
        <w:ind w:firstLine="709"/>
        <w:jc w:val="both"/>
      </w:pPr>
      <w:r>
        <w:rPr>
          <w:rFonts w:eastAsia="Calibri"/>
          <w:lang w:eastAsia="en-US"/>
        </w:rPr>
        <w:t xml:space="preserve">Контрольное управление Новосибирской области действующими нормативными правовыми актами Новосибирской области не наделено полномочиями по официальному разъяснению и толкованию </w:t>
      </w:r>
      <w:r>
        <w:t>законодательства Российской Федерации, в том числе</w:t>
      </w:r>
      <w:r>
        <w:rPr>
          <w:rFonts w:eastAsia="Calibri"/>
          <w:lang w:eastAsia="en-US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– Федеральный закон № 44-ФЗ).</w:t>
      </w:r>
    </w:p>
    <w:p w:rsidR="007243C1" w:rsidRDefault="0068161A">
      <w:pPr>
        <w:spacing w:after="57"/>
        <w:ind w:firstLine="709"/>
        <w:jc w:val="both"/>
      </w:pPr>
      <w:r>
        <w:rPr>
          <w:rFonts w:eastAsia="Calibri"/>
          <w:lang w:eastAsia="en-US"/>
        </w:rPr>
        <w:t>Однако, считаем возможным выразить свое мнение относительно</w:t>
      </w:r>
      <w:r>
        <w:t xml:space="preserve"> Вашего обращения в части применения (неприменения) отдельных норм постановления Правительства Российской Федерации от 23 декабря 2024 г. № 1875 «О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отдельными видами юридических лиц» (далее - Постановление № 1875) при размещении аукциона в электронной форме или заключении контракта у единственного поставщика на поставку шин пневматических для легковых автомобилей, указанных в приложении № 1 к Постановлению № 1875 (позиция 14 приложения № 1, код ОКПД 2- 22.11.11.000) с начальной (максимальной) ценой контракта (далее - НМЦК) 283 333, 39 рублей, ценой за единицу товара 16 666, 67 рублей. </w:t>
      </w:r>
    </w:p>
    <w:p w:rsidR="007243C1" w:rsidRDefault="0068161A">
      <w:pPr>
        <w:spacing w:after="57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По первому вопросу поясняем: </w:t>
      </w:r>
    </w:p>
    <w:p w:rsidR="007243C1" w:rsidRDefault="0068161A">
      <w:pPr>
        <w:spacing w:after="57"/>
        <w:ind w:firstLine="709"/>
        <w:jc w:val="both"/>
        <w:rPr>
          <w:color w:val="000000"/>
          <w:highlight w:val="white"/>
        </w:rPr>
      </w:pPr>
      <w:r>
        <w:rPr>
          <w:shd w:val="clear" w:color="auto" w:fill="FFFFFF"/>
        </w:rPr>
        <w:t xml:space="preserve">В соответствии с пунктом 5 </w:t>
      </w:r>
      <w:r>
        <w:t>Постановления № 1875</w:t>
      </w:r>
      <w:r>
        <w:rPr>
          <w:shd w:val="clear" w:color="auto" w:fill="FFFFFF"/>
        </w:rPr>
        <w:t xml:space="preserve"> </w:t>
      </w:r>
      <w:r>
        <w:rPr>
          <w:color w:val="000000"/>
        </w:rPr>
        <w:t>з</w:t>
      </w:r>
      <w:r>
        <w:rPr>
          <w:color w:val="000000"/>
          <w:highlight w:val="white"/>
        </w:rPr>
        <w:t>апрет, предусмотренный </w:t>
      </w:r>
      <w:r>
        <w:rPr>
          <w:highlight w:val="white"/>
        </w:rPr>
        <w:t>пунктом 1</w:t>
      </w:r>
      <w:r>
        <w:rPr>
          <w:color w:val="000000"/>
          <w:highlight w:val="white"/>
        </w:rPr>
        <w:t>, </w:t>
      </w:r>
      <w:r>
        <w:rPr>
          <w:highlight w:val="white"/>
        </w:rPr>
        <w:t xml:space="preserve">подпунктом «ж» пункта 4 </w:t>
      </w:r>
      <w:r>
        <w:rPr>
          <w:color w:val="000000"/>
          <w:highlight w:val="white"/>
        </w:rPr>
        <w:t> настоящего постановления, может не применяться заказчиками при наступлении в том числе одного из следующих случаев:</w:t>
      </w:r>
    </w:p>
    <w:p w:rsidR="007243C1" w:rsidRDefault="0068161A">
      <w:pPr>
        <w:pStyle w:val="a3"/>
        <w:numPr>
          <w:ilvl w:val="0"/>
          <w:numId w:val="3"/>
        </w:numPr>
        <w:spacing w:after="57"/>
        <w:ind w:left="0" w:firstLine="709"/>
        <w:contextualSpacing w:val="0"/>
        <w:jc w:val="both"/>
        <w:rPr>
          <w:color w:val="000000"/>
          <w:highlight w:val="white"/>
        </w:rPr>
      </w:pPr>
      <w:r>
        <w:rPr>
          <w:color w:val="000000"/>
        </w:rPr>
        <w:t xml:space="preserve">в соответствии с подпунктом «з» если </w:t>
      </w:r>
      <w:r>
        <w:rPr>
          <w:color w:val="000000"/>
          <w:highlight w:val="white"/>
        </w:rPr>
        <w:t>осуществляется закупка товара, не относящегося к товарам и программному обеспечению, указанным в </w:t>
      </w:r>
      <w:r>
        <w:rPr>
          <w:highlight w:val="white"/>
        </w:rPr>
        <w:t>позициях 17</w:t>
      </w:r>
      <w:r>
        <w:rPr>
          <w:color w:val="000000"/>
          <w:highlight w:val="white"/>
        </w:rPr>
        <w:t>, </w:t>
      </w:r>
      <w:r>
        <w:rPr>
          <w:highlight w:val="white"/>
        </w:rPr>
        <w:t>27</w:t>
      </w:r>
      <w:r>
        <w:rPr>
          <w:color w:val="000000"/>
          <w:highlight w:val="white"/>
        </w:rPr>
        <w:t>, </w:t>
      </w:r>
      <w:r>
        <w:rPr>
          <w:highlight w:val="white"/>
        </w:rPr>
        <w:t>35</w:t>
      </w:r>
      <w:r>
        <w:rPr>
          <w:color w:val="000000"/>
          <w:highlight w:val="white"/>
        </w:rPr>
        <w:t>, </w:t>
      </w:r>
      <w:r>
        <w:rPr>
          <w:highlight w:val="white"/>
        </w:rPr>
        <w:t>53</w:t>
      </w:r>
      <w:r>
        <w:rPr>
          <w:color w:val="000000"/>
          <w:highlight w:val="white"/>
        </w:rPr>
        <w:t>, </w:t>
      </w:r>
      <w:r>
        <w:rPr>
          <w:highlight w:val="white"/>
        </w:rPr>
        <w:t>140</w:t>
      </w:r>
      <w:r>
        <w:rPr>
          <w:color w:val="000000"/>
          <w:highlight w:val="white"/>
        </w:rPr>
        <w:t>, </w:t>
      </w:r>
      <w:r>
        <w:rPr>
          <w:highlight w:val="white"/>
        </w:rPr>
        <w:t>141</w:t>
      </w:r>
      <w:r>
        <w:rPr>
          <w:color w:val="000000"/>
          <w:highlight w:val="white"/>
        </w:rPr>
        <w:t>, </w:t>
      </w:r>
      <w:r>
        <w:rPr>
          <w:highlight w:val="white"/>
        </w:rPr>
        <w:t>144</w:t>
      </w:r>
      <w:r>
        <w:rPr>
          <w:color w:val="000000"/>
          <w:highlight w:val="white"/>
        </w:rPr>
        <w:t> и </w:t>
      </w:r>
      <w:r>
        <w:rPr>
          <w:highlight w:val="white"/>
        </w:rPr>
        <w:t>146</w:t>
      </w:r>
      <w:r>
        <w:rPr>
          <w:color w:val="000000"/>
          <w:highlight w:val="white"/>
        </w:rPr>
        <w:t> приложения № 1 к настоящему постановлению, в количестве одной штуки и начальная (максимальная) цена контракта (начальная (максимальная) цена договора) или цена контракта, заключаемого с единственным поставщиком (подрядчиком, исполнителем) (цена, заключаемого с единственным поставщиком (исполнителем, подрядчиком) договора), не превышает 300 тыс. рублей</w:t>
      </w:r>
      <w:r>
        <w:rPr>
          <w:color w:val="000000"/>
          <w:shd w:val="clear" w:color="auto" w:fill="FFFFFF"/>
        </w:rPr>
        <w:t>;</w:t>
      </w:r>
    </w:p>
    <w:p w:rsidR="007243C1" w:rsidRDefault="0068161A">
      <w:pPr>
        <w:pStyle w:val="a3"/>
        <w:numPr>
          <w:ilvl w:val="0"/>
          <w:numId w:val="3"/>
        </w:numPr>
        <w:spacing w:after="57"/>
        <w:ind w:left="0" w:firstLine="709"/>
        <w:contextualSpacing w:val="0"/>
        <w:jc w:val="both"/>
        <w:rPr>
          <w:color w:val="000000"/>
          <w:highlight w:val="white"/>
        </w:rPr>
      </w:pPr>
      <w:r>
        <w:rPr>
          <w:color w:val="000000"/>
        </w:rPr>
        <w:t>в соответствии с подпунктом «и»</w:t>
      </w:r>
      <w:r>
        <w:rPr>
          <w:color w:val="000000"/>
          <w:shd w:val="clear" w:color="auto" w:fill="FFFFFF"/>
        </w:rPr>
        <w:t xml:space="preserve"> если </w:t>
      </w:r>
      <w:r>
        <w:rPr>
          <w:color w:val="000000"/>
          <w:highlight w:val="white"/>
        </w:rPr>
        <w:t>осуществляется закупка товаров, не относящихся к товарам и программному обеспечению, указанным в </w:t>
      </w:r>
      <w:r>
        <w:rPr>
          <w:highlight w:val="white"/>
        </w:rPr>
        <w:t>позициях 17</w:t>
      </w:r>
      <w:r>
        <w:rPr>
          <w:color w:val="000000"/>
          <w:highlight w:val="white"/>
        </w:rPr>
        <w:t>, </w:t>
      </w:r>
      <w:r>
        <w:rPr>
          <w:highlight w:val="white"/>
        </w:rPr>
        <w:t>27</w:t>
      </w:r>
      <w:r>
        <w:rPr>
          <w:color w:val="000000"/>
          <w:highlight w:val="white"/>
        </w:rPr>
        <w:t>, </w:t>
      </w:r>
      <w:r>
        <w:rPr>
          <w:highlight w:val="white"/>
        </w:rPr>
        <w:t>35</w:t>
      </w:r>
      <w:r>
        <w:rPr>
          <w:color w:val="000000"/>
          <w:highlight w:val="white"/>
        </w:rPr>
        <w:t>, </w:t>
      </w:r>
      <w:r>
        <w:rPr>
          <w:highlight w:val="white"/>
        </w:rPr>
        <w:t>53</w:t>
      </w:r>
      <w:r>
        <w:rPr>
          <w:color w:val="000000"/>
          <w:highlight w:val="white"/>
        </w:rPr>
        <w:t>, </w:t>
      </w:r>
      <w:r>
        <w:rPr>
          <w:highlight w:val="white"/>
        </w:rPr>
        <w:t>140</w:t>
      </w:r>
      <w:r>
        <w:rPr>
          <w:color w:val="000000"/>
          <w:highlight w:val="white"/>
        </w:rPr>
        <w:t>, </w:t>
      </w:r>
      <w:r>
        <w:rPr>
          <w:highlight w:val="white"/>
        </w:rPr>
        <w:t>141</w:t>
      </w:r>
      <w:r>
        <w:rPr>
          <w:color w:val="000000"/>
          <w:highlight w:val="white"/>
        </w:rPr>
        <w:t>, </w:t>
      </w:r>
      <w:r>
        <w:rPr>
          <w:highlight w:val="white"/>
        </w:rPr>
        <w:t>144</w:t>
      </w:r>
      <w:r>
        <w:rPr>
          <w:color w:val="000000"/>
          <w:highlight w:val="white"/>
        </w:rPr>
        <w:t> и </w:t>
      </w:r>
      <w:r>
        <w:rPr>
          <w:highlight w:val="white"/>
        </w:rPr>
        <w:t>146</w:t>
      </w:r>
      <w:r>
        <w:rPr>
          <w:color w:val="000000"/>
          <w:highlight w:val="white"/>
        </w:rPr>
        <w:t xml:space="preserve"> приложения № 1 к настоящему постановлению, при которой начальная (максимальная) цена контракта (начальная (максимальная) цена договора) или цена контракта, заключаемого с единственным поставщиком </w:t>
      </w:r>
      <w:r>
        <w:rPr>
          <w:color w:val="000000"/>
          <w:highlight w:val="white"/>
        </w:rPr>
        <w:lastRenderedPageBreak/>
        <w:t>(подрядчиком, исполнителем) (цена, заключаемого с единственным поставщиком (исполнителем, подрядчиком) договора), не превышает 1 млн. рублей и при этом ни одна из использованных при определении таких цен цена единицы товара не превышает 300 тыс. рублей</w:t>
      </w:r>
      <w:r>
        <w:rPr>
          <w:color w:val="000000"/>
          <w:shd w:val="clear" w:color="auto" w:fill="FFFFFF"/>
        </w:rPr>
        <w:t>.</w:t>
      </w:r>
    </w:p>
    <w:p w:rsidR="007243C1" w:rsidRDefault="0068161A">
      <w:pPr>
        <w:spacing w:after="57"/>
        <w:ind w:firstLine="709"/>
        <w:jc w:val="both"/>
      </w:pPr>
      <w:r>
        <w:t xml:space="preserve">На основании вышеизложенного, считаем, что заказчик может не применять запрет в отношении планируемой закупки по основаниям изложенным в подпункте «и» пункта 5 Постановления № 1875, так как закупка не относится </w:t>
      </w:r>
      <w:r>
        <w:rPr>
          <w:color w:val="000000"/>
          <w:highlight w:val="white"/>
        </w:rPr>
        <w:t>к товарам и программному обеспечению, указанным в </w:t>
      </w:r>
      <w:r>
        <w:rPr>
          <w:highlight w:val="white"/>
        </w:rPr>
        <w:t>позициях 17</w:t>
      </w:r>
      <w:r>
        <w:rPr>
          <w:color w:val="000000"/>
          <w:highlight w:val="white"/>
        </w:rPr>
        <w:t>, </w:t>
      </w:r>
      <w:r>
        <w:rPr>
          <w:highlight w:val="white"/>
        </w:rPr>
        <w:t>27</w:t>
      </w:r>
      <w:r>
        <w:rPr>
          <w:color w:val="000000"/>
          <w:highlight w:val="white"/>
        </w:rPr>
        <w:t>, </w:t>
      </w:r>
      <w:r>
        <w:rPr>
          <w:highlight w:val="white"/>
        </w:rPr>
        <w:t>35</w:t>
      </w:r>
      <w:r>
        <w:rPr>
          <w:color w:val="000000"/>
          <w:highlight w:val="white"/>
        </w:rPr>
        <w:t>, </w:t>
      </w:r>
      <w:r>
        <w:rPr>
          <w:highlight w:val="white"/>
        </w:rPr>
        <w:t>53</w:t>
      </w:r>
      <w:r>
        <w:rPr>
          <w:color w:val="000000"/>
          <w:highlight w:val="white"/>
        </w:rPr>
        <w:t>, </w:t>
      </w:r>
      <w:r>
        <w:rPr>
          <w:highlight w:val="white"/>
        </w:rPr>
        <w:t>140</w:t>
      </w:r>
      <w:r>
        <w:rPr>
          <w:color w:val="000000"/>
          <w:highlight w:val="white"/>
        </w:rPr>
        <w:t>, </w:t>
      </w:r>
      <w:r>
        <w:rPr>
          <w:highlight w:val="white"/>
        </w:rPr>
        <w:t>141</w:t>
      </w:r>
      <w:r>
        <w:rPr>
          <w:color w:val="000000"/>
          <w:highlight w:val="white"/>
        </w:rPr>
        <w:t>, </w:t>
      </w:r>
      <w:r>
        <w:rPr>
          <w:highlight w:val="white"/>
        </w:rPr>
        <w:t>144</w:t>
      </w:r>
      <w:r>
        <w:rPr>
          <w:color w:val="000000"/>
          <w:highlight w:val="white"/>
        </w:rPr>
        <w:t> и </w:t>
      </w:r>
      <w:r>
        <w:rPr>
          <w:highlight w:val="white"/>
        </w:rPr>
        <w:t>146</w:t>
      </w:r>
      <w:r>
        <w:rPr>
          <w:color w:val="000000"/>
          <w:highlight w:val="white"/>
        </w:rPr>
        <w:t> приложения № 1</w:t>
      </w:r>
      <w:r>
        <w:t xml:space="preserve">, НМЦК </w:t>
      </w:r>
      <w:r>
        <w:rPr>
          <w:color w:val="000000"/>
          <w:highlight w:val="white"/>
        </w:rPr>
        <w:t xml:space="preserve">не превышает 1 млн. рублей и при этом </w:t>
      </w:r>
      <w:r>
        <w:t>цена за единицу товара составляет 16 666, 67 рублей, что</w:t>
      </w:r>
      <w:r>
        <w:rPr>
          <w:color w:val="000000"/>
          <w:highlight w:val="white"/>
        </w:rPr>
        <w:t xml:space="preserve"> не превышает 300 тыс. рублей</w:t>
      </w:r>
      <w:r>
        <w:t>.</w:t>
      </w:r>
    </w:p>
    <w:p w:rsidR="007243C1" w:rsidRDefault="0068161A">
      <w:pPr>
        <w:spacing w:after="57"/>
        <w:ind w:firstLine="709"/>
        <w:jc w:val="both"/>
      </w:pPr>
      <w:r>
        <w:t>Случай изложенный в подпункте «з» пункта 5 Постановления № 1875 не является основанием, когда запрет может не применяться в отношении вышеуказанной закупки, так как к поставке планируется товар в количестве более чем одна штука.</w:t>
      </w:r>
    </w:p>
    <w:p w:rsidR="007243C1" w:rsidRDefault="0068161A">
      <w:pPr>
        <w:spacing w:after="57"/>
        <w:ind w:firstLine="709"/>
        <w:jc w:val="both"/>
      </w:pPr>
      <w:r>
        <w:t xml:space="preserve">По второму вопросу: </w:t>
      </w:r>
    </w:p>
    <w:p w:rsidR="007243C1" w:rsidRDefault="0068161A">
      <w:pPr>
        <w:spacing w:after="57"/>
        <w:ind w:firstLine="709"/>
        <w:jc w:val="both"/>
      </w:pPr>
      <w:r>
        <w:t xml:space="preserve">Подпунктом «г» пункта 7 Постановления № 1875 установлено, что </w:t>
      </w:r>
      <w:r>
        <w:rPr>
          <w:color w:val="000000"/>
        </w:rPr>
        <w:t>особенности, предусмотренные </w:t>
      </w:r>
      <w:r>
        <w:t>подпунктом «в»</w:t>
      </w:r>
      <w:r>
        <w:rPr>
          <w:color w:val="000000"/>
        </w:rPr>
        <w:t> настоящего пункта, не применяются при наступлении одного из следующих случаев:</w:t>
      </w:r>
    </w:p>
    <w:p w:rsidR="007243C1" w:rsidRDefault="0068161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57"/>
        <w:ind w:firstLine="540"/>
        <w:jc w:val="both"/>
      </w:pPr>
      <w:r>
        <w:rPr>
          <w:color w:val="000000"/>
        </w:rPr>
        <w:t>осуществляется закупка товара, включенного в объект закупки (предмет закупки), в отношении которого уполномоченным Правительством Российской Федерации в соответствии с </w:t>
      </w:r>
      <w:r>
        <w:t>частью 22 статьи 22</w:t>
      </w:r>
      <w:r>
        <w:rPr>
          <w:color w:val="000000"/>
        </w:rPr>
        <w:t> Федерального закона "О контрактной системе в сфере закупок товаров, работ, услуг для обеспечения государственных и муниципальных нужд" федеральным органом исполнительной власти, Государственной корпорацией по атомной энергии "Росатом", Государственной корпорацией по космической деятельности "Роскосмос" установлен </w:t>
      </w:r>
      <w:r>
        <w:t>порядок</w:t>
      </w:r>
      <w:r>
        <w:rPr>
          <w:color w:val="000000"/>
        </w:rPr>
        <w:t> определения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товара;</w:t>
      </w:r>
    </w:p>
    <w:p w:rsidR="007243C1" w:rsidRDefault="0068161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57"/>
        <w:ind w:firstLine="540"/>
        <w:jc w:val="both"/>
      </w:pPr>
      <w:r>
        <w:rPr>
          <w:color w:val="000000"/>
        </w:rPr>
        <w:t>если при осуществлении закупки товара заказчиком в случаях, предусмотренных </w:t>
      </w:r>
      <w:r>
        <w:t>пунктом 5</w:t>
      </w:r>
      <w:r>
        <w:rPr>
          <w:color w:val="000000"/>
        </w:rPr>
        <w:t> настоящего постановления, не применяется запрет, предусмотренный </w:t>
      </w:r>
      <w:r>
        <w:t>пунктом 1</w:t>
      </w:r>
      <w:r>
        <w:rPr>
          <w:color w:val="000000"/>
        </w:rPr>
        <w:t> настоящего постановления;</w:t>
      </w:r>
    </w:p>
    <w:p w:rsidR="007243C1" w:rsidRDefault="0068161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57"/>
        <w:ind w:firstLine="540"/>
        <w:jc w:val="both"/>
      </w:pPr>
      <w:r>
        <w:rPr>
          <w:color w:val="000000"/>
        </w:rPr>
        <w:t>осуществляется закупка товара в количестве одной штуки и начальная (максимальная) цена контракта (начальная (максимальная) цена договора) или цена контракта, заключаемого с единственным поставщиком (подрядчиком, исполнителем) (цена, заключаемого с единственным поставщиком (исполнителем, подрядчиком) договора), не превышает 5 тыс. рублей;</w:t>
      </w:r>
    </w:p>
    <w:p w:rsidR="007243C1" w:rsidRDefault="0068161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57"/>
        <w:ind w:firstLine="540"/>
        <w:jc w:val="both"/>
      </w:pPr>
      <w:r>
        <w:rPr>
          <w:color w:val="000000"/>
        </w:rPr>
        <w:t>осуществляется закупка товаров, при которой начальная (максимальная) цена контракта (начальная (максимальная) цена договора) или цена контракта, заключаемого с единственным поставщиком (подрядчиком, исполнителем) (цена, заключаемого с единственным поставщиком (исполнителем, подрядчиком) договора), не превышает 1 млн. рублей и при этом ни одна из использованных при определении таких цен цена единицы товара не превышает 5 тыс. рублей.</w:t>
      </w:r>
    </w:p>
    <w:p w:rsidR="007243C1" w:rsidRDefault="0068161A">
      <w:pPr>
        <w:ind w:firstLine="709"/>
        <w:jc w:val="both"/>
      </w:pPr>
      <w:r>
        <w:lastRenderedPageBreak/>
        <w:t xml:space="preserve">На основании вышеизложенного, считаем, что в соответствии с третьим абзацем подпункта «г» пункта 7 Постановления № 1875   </w:t>
      </w:r>
      <w:r>
        <w:rPr>
          <w:color w:val="000000"/>
        </w:rPr>
        <w:t>особенности, предусмотренные </w:t>
      </w:r>
      <w:r>
        <w:t>подпунктом «в»</w:t>
      </w:r>
      <w:r>
        <w:rPr>
          <w:color w:val="000000"/>
        </w:rPr>
        <w:t> </w:t>
      </w:r>
      <w:r>
        <w:t>пункта 7 Постановления № 1875</w:t>
      </w:r>
      <w:r>
        <w:rPr>
          <w:color w:val="000000"/>
        </w:rPr>
        <w:t xml:space="preserve">, </w:t>
      </w:r>
      <w:r>
        <w:t>в отношении вышеуказанной закупки</w:t>
      </w:r>
      <w:r>
        <w:rPr>
          <w:color w:val="000000"/>
        </w:rPr>
        <w:t xml:space="preserve"> не применяются</w:t>
      </w:r>
      <w:r>
        <w:t>.</w:t>
      </w:r>
    </w:p>
    <w:p w:rsidR="007243C1" w:rsidRDefault="0068161A">
      <w:pPr>
        <w:ind w:firstLine="709"/>
        <w:jc w:val="both"/>
      </w:pPr>
      <w:r>
        <w:t xml:space="preserve">По третьему вопросу сообщаем, что при не применении заказчиком запрета, предусмотренного пунктом 1, подпунктом «ж» пункта 4 Постановления № 1875 на основании в том числе подпунктов «з», «и» пункта 5 Постановления № 1875, </w:t>
      </w:r>
      <w:r>
        <w:rPr>
          <w:color w:val="000000"/>
          <w:sz w:val="30"/>
          <w:highlight w:val="white"/>
        </w:rPr>
        <w:t>запрет на закупку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гражданами, иностранными юридическими лицами</w:t>
      </w:r>
      <w:r>
        <w:t xml:space="preserve"> отсутствует.</w:t>
      </w:r>
    </w:p>
    <w:p w:rsidR="007243C1" w:rsidRDefault="007243C1">
      <w:pPr>
        <w:ind w:right="201"/>
        <w:jc w:val="both"/>
        <w:rPr>
          <w:sz w:val="20"/>
          <w:szCs w:val="20"/>
        </w:rPr>
      </w:pPr>
    </w:p>
    <w:sectPr w:rsidR="007243C1">
      <w:headerReference w:type="default" r:id="rId7"/>
      <w:headerReference w:type="first" r:id="rId8"/>
      <w:pgSz w:w="11906" w:h="16838"/>
      <w:pgMar w:top="1190" w:right="567" w:bottom="766" w:left="1418" w:header="1134" w:footer="709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11DC" w:rsidRDefault="004711DC">
      <w:r>
        <w:separator/>
      </w:r>
    </w:p>
  </w:endnote>
  <w:endnote w:type="continuationSeparator" w:id="0">
    <w:p w:rsidR="004711DC" w:rsidRDefault="00471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11DC" w:rsidRDefault="004711DC">
      <w:r>
        <w:separator/>
      </w:r>
    </w:p>
  </w:footnote>
  <w:footnote w:type="continuationSeparator" w:id="0">
    <w:p w:rsidR="004711DC" w:rsidRDefault="004711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3C1" w:rsidRDefault="0068161A">
    <w:pPr>
      <w:pStyle w:val="ac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917834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  <w:p w:rsidR="007243C1" w:rsidRDefault="007243C1">
    <w:pPr>
      <w:pStyle w:val="ac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3C1" w:rsidRDefault="007243C1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11F88"/>
    <w:multiLevelType w:val="hybridMultilevel"/>
    <w:tmpl w:val="DBDAD472"/>
    <w:lvl w:ilvl="0" w:tplc="9FA64E82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62F84592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4DE6CBE8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1C4E496E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76340824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CB843372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F5B826FE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35BAAD9C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D9E0E748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0DB462ED"/>
    <w:multiLevelType w:val="hybridMultilevel"/>
    <w:tmpl w:val="C5EEF85C"/>
    <w:lvl w:ilvl="0" w:tplc="84E48160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B1C6A842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8166CB54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E1622A80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B67056CE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9CFAD234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C7CC65FC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E24E8BB4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FA622612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19981C44"/>
    <w:multiLevelType w:val="hybridMultilevel"/>
    <w:tmpl w:val="4C50FEFE"/>
    <w:lvl w:ilvl="0" w:tplc="DDF6A7F8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4274D38C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3266D7D6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BE345C32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3F80A40E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602284A4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1A301ADC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DA28DA54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852C8478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2A4271D4"/>
    <w:multiLevelType w:val="hybridMultilevel"/>
    <w:tmpl w:val="3B4AE788"/>
    <w:lvl w:ilvl="0" w:tplc="0B24B45C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C0E83CF0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1E086FE2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ABA6AEFA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5A72473C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3E5A6E02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9FB67786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F4700C4C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11D8F476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39C906D8"/>
    <w:multiLevelType w:val="hybridMultilevel"/>
    <w:tmpl w:val="7152E7BA"/>
    <w:lvl w:ilvl="0" w:tplc="62A25160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5FA6C7A2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25D4954A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E132E64E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0284E0CC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9AF41608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9FDC3BBC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E3C0C014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72FEDC5C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39F823FC"/>
    <w:multiLevelType w:val="hybridMultilevel"/>
    <w:tmpl w:val="6124FF90"/>
    <w:lvl w:ilvl="0" w:tplc="E87A1AF8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F558E1E4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98708BF4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8814ED94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CA22F02E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BADAF1C4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8D4AC2E4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2E6E84D4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2132E0F0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3C1"/>
    <w:rsid w:val="004711DC"/>
    <w:rsid w:val="0068161A"/>
    <w:rsid w:val="007243C1"/>
    <w:rsid w:val="008B617E"/>
    <w:rsid w:val="00917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DFF467-C486-44FD-A21F-63AE30197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8"/>
      <w:szCs w:val="28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6"/>
    <w:link w:val="a7"/>
    <w:pPr>
      <w:keepNext/>
      <w:spacing w:before="240" w:after="120"/>
    </w:pPr>
    <w:rPr>
      <w:rFonts w:ascii="Liberation Sans" w:eastAsia="Tahoma" w:hAnsi="Liberation Sans" w:cs="Droid Sans Devanagari"/>
    </w:rPr>
  </w:style>
  <w:style w:type="character" w:customStyle="1" w:styleId="a7">
    <w:name w:val="Заголовок Знак"/>
    <w:link w:val="a5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 w:after="200"/>
    </w:pPr>
    <w:rPr>
      <w:sz w:val="24"/>
      <w:szCs w:val="24"/>
    </w:rPr>
  </w:style>
  <w:style w:type="character" w:customStyle="1" w:styleId="a9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11"/>
    <w:pPr>
      <w:tabs>
        <w:tab w:val="center" w:pos="4153"/>
        <w:tab w:val="right" w:pos="8306"/>
      </w:tabs>
    </w:pPr>
  </w:style>
  <w:style w:type="character" w:customStyle="1" w:styleId="11">
    <w:name w:val="Верхний колонтитул Знак1"/>
    <w:link w:val="ac"/>
    <w:uiPriority w:val="99"/>
  </w:style>
  <w:style w:type="paragraph" w:styleId="ad">
    <w:name w:val="footer"/>
    <w:basedOn w:val="a"/>
    <w:link w:val="12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12">
    <w:name w:val="Нижний колонтитул Знак1"/>
    <w:link w:val="ad"/>
    <w:uiPriority w:val="99"/>
  </w:style>
  <w:style w:type="table" w:styleId="af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styleId="13">
    <w:name w:val="Plain Table 1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styleId="af0">
    <w:name w:val="Hyperlink"/>
    <w:uiPriority w:val="99"/>
    <w:unhideWhenUsed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customStyle="1" w:styleId="af9">
    <w:name w:val="Верхний колонтитул Знак"/>
    <w:rPr>
      <w:sz w:val="28"/>
      <w:szCs w:val="28"/>
      <w:lang w:val="ru-RU" w:bidi="ar-SA"/>
    </w:rPr>
  </w:style>
  <w:style w:type="character" w:customStyle="1" w:styleId="-">
    <w:name w:val="Интернет-ссылка"/>
    <w:rPr>
      <w:rFonts w:cs="Times New Roman"/>
      <w:color w:val="0000FF"/>
      <w:u w:val="single"/>
    </w:rPr>
  </w:style>
  <w:style w:type="character" w:customStyle="1" w:styleId="25">
    <w:name w:val="Основной текст 2 Знак"/>
    <w:rPr>
      <w:sz w:val="28"/>
      <w:szCs w:val="28"/>
      <w:lang w:val="ru-RU" w:bidi="ar-SA"/>
    </w:rPr>
  </w:style>
  <w:style w:type="character" w:customStyle="1" w:styleId="33">
    <w:name w:val="Основной текст 3 Знак"/>
    <w:rPr>
      <w:b/>
      <w:bCs/>
      <w:sz w:val="28"/>
      <w:szCs w:val="28"/>
      <w:lang w:val="ru-RU" w:bidi="ar-SA"/>
    </w:rPr>
  </w:style>
  <w:style w:type="character" w:customStyle="1" w:styleId="43">
    <w:name w:val="Знак Знак4"/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14">
    <w:name w:val="Font Style1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character" w:customStyle="1" w:styleId="afa">
    <w:name w:val="Нижний колонтитул Знак"/>
    <w:rPr>
      <w:sz w:val="28"/>
      <w:szCs w:val="28"/>
    </w:rPr>
  </w:style>
  <w:style w:type="character" w:customStyle="1" w:styleId="afb">
    <w:name w:val="Основной текст Знак"/>
    <w:rPr>
      <w:sz w:val="28"/>
      <w:szCs w:val="28"/>
    </w:rPr>
  </w:style>
  <w:style w:type="character" w:customStyle="1" w:styleId="15">
    <w:name w:val="Основной текст1"/>
    <w:rPr>
      <w:rFonts w:ascii="Times New Roman" w:eastAsia="Times New Roman" w:hAnsi="Times New Roman" w:cs="Times New Roman"/>
      <w:color w:val="000000"/>
      <w:spacing w:val="0"/>
      <w:position w:val="0"/>
      <w:sz w:val="26"/>
      <w:szCs w:val="26"/>
      <w:shd w:val="clear" w:color="auto" w:fill="FFFFFF"/>
      <w:vertAlign w:val="baseline"/>
      <w:lang w:val="ru-RU"/>
    </w:rPr>
  </w:style>
  <w:style w:type="paragraph" w:styleId="a6">
    <w:name w:val="Body Text"/>
    <w:basedOn w:val="a"/>
    <w:pPr>
      <w:spacing w:after="120"/>
    </w:pPr>
  </w:style>
  <w:style w:type="paragraph" w:styleId="afc">
    <w:name w:val="List"/>
    <w:basedOn w:val="a6"/>
    <w:rPr>
      <w:rFonts w:cs="Droid Sans Devanagari"/>
    </w:rPr>
  </w:style>
  <w:style w:type="paragraph" w:customStyle="1" w:styleId="afd">
    <w:name w:val="Название"/>
    <w:basedOn w:val="a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fe">
    <w:name w:val="index heading"/>
    <w:basedOn w:val="a"/>
    <w:pPr>
      <w:suppressLineNumbers/>
    </w:pPr>
    <w:rPr>
      <w:rFonts w:cs="Droid Sans Devanagari"/>
    </w:rPr>
  </w:style>
  <w:style w:type="paragraph" w:customStyle="1" w:styleId="af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26">
    <w:name w:val="Body Text 2"/>
    <w:basedOn w:val="a"/>
    <w:pPr>
      <w:jc w:val="both"/>
    </w:pPr>
  </w:style>
  <w:style w:type="paragraph" w:styleId="34">
    <w:name w:val="Body Text 3"/>
    <w:basedOn w:val="a"/>
    <w:pPr>
      <w:jc w:val="center"/>
    </w:pPr>
    <w:rPr>
      <w:b/>
      <w:bCs/>
    </w:rPr>
  </w:style>
  <w:style w:type="paragraph" w:styleId="aff0">
    <w:name w:val="Balloon Text"/>
    <w:basedOn w:val="a"/>
    <w:rPr>
      <w:rFonts w:ascii="Tahoma" w:hAnsi="Tahoma" w:cs="Tahoma"/>
      <w:sz w:val="16"/>
      <w:szCs w:val="16"/>
    </w:rPr>
  </w:style>
  <w:style w:type="paragraph" w:styleId="aff1">
    <w:name w:val="Block Text"/>
    <w:basedOn w:val="a"/>
    <w:pPr>
      <w:tabs>
        <w:tab w:val="left" w:pos="2552"/>
      </w:tabs>
      <w:ind w:left="1701" w:right="-369" w:hanging="2694"/>
      <w:jc w:val="both"/>
    </w:pPr>
    <w:rPr>
      <w:szCs w:val="20"/>
    </w:rPr>
  </w:style>
  <w:style w:type="paragraph" w:customStyle="1" w:styleId="Default">
    <w:name w:val="Default"/>
    <w:rPr>
      <w:rFonts w:ascii="Calibri" w:hAnsi="Calibri" w:cs="Calibri"/>
      <w:color w:val="000000"/>
      <w:sz w:val="24"/>
      <w:szCs w:val="24"/>
      <w:lang w:eastAsia="zh-CN"/>
    </w:rPr>
  </w:style>
  <w:style w:type="paragraph" w:customStyle="1" w:styleId="Style5">
    <w:name w:val="Style5"/>
    <w:basedOn w:val="a"/>
    <w:pPr>
      <w:widowControl w:val="0"/>
      <w:spacing w:line="372" w:lineRule="exact"/>
      <w:ind w:firstLine="701"/>
      <w:jc w:val="both"/>
    </w:pPr>
    <w:rPr>
      <w:sz w:val="24"/>
      <w:szCs w:val="24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  <w:lang w:eastAsia="zh-CN"/>
    </w:rPr>
  </w:style>
  <w:style w:type="paragraph" w:customStyle="1" w:styleId="aff2">
    <w:name w:val="Содержимое таблицы"/>
    <w:basedOn w:val="a"/>
    <w:pPr>
      <w:suppressLineNumbers/>
    </w:pPr>
  </w:style>
  <w:style w:type="paragraph" w:customStyle="1" w:styleId="aff3">
    <w:name w:val="Заголовок таблицы"/>
    <w:basedOn w:val="aff2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940</Words>
  <Characters>5360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PNO</Company>
  <LinksUpToDate>false</LinksUpToDate>
  <CharactersWithSpaces>6288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sna</dc:creator>
  <cp:lastModifiedBy>Кухаева Наталья Александровна</cp:lastModifiedBy>
  <cp:revision>2</cp:revision>
  <dcterms:created xsi:type="dcterms:W3CDTF">2025-04-09T06:05:00Z</dcterms:created>
  <dcterms:modified xsi:type="dcterms:W3CDTF">2025-04-09T06:05:00Z</dcterms:modified>
</cp:coreProperties>
</file>