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1"/>
        <w:gridCol w:w="695"/>
        <w:gridCol w:w="2073"/>
        <w:gridCol w:w="425"/>
        <w:gridCol w:w="1701"/>
        <w:gridCol w:w="194"/>
        <w:gridCol w:w="239"/>
        <w:gridCol w:w="4162"/>
      </w:tblGrid>
      <w:tr>
        <w:tc>
          <w:tcPr>
            <w:tcW w:w="5439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3"/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0078" cy="650188"/>
                      <wp:effectExtent l="0" t="0" r="0" b="0"/>
                      <wp:docPr id="1" name="_x0000_i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rcRect l="-113" t="-95" r="-113" b="-95"/>
                              <a:stretch/>
                            </pic:blipFill>
                            <pic:spPr>
                              <a:xfrm>
                                <a:off x="0" y="0"/>
                                <a:ext cx="550078" cy="650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31pt;height:51.2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eastAsia="Calibri"/>
                <w:sz w:val="8"/>
                <w:szCs w:val="8"/>
                <w:lang w:val="en-US"/>
              </w:rPr>
            </w:r>
          </w:p>
          <w:p>
            <w:pPr>
              <w:pStyle w:val="UserStyle_13"/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w:rPr>
                <w:rFonts w:eastAsia="Calibri"/>
                <w:sz w:val="8"/>
                <w:szCs w:val="8"/>
                <w:lang w:val="en-US"/>
              </w:rPr>
            </w:r>
          </w:p>
          <w:p>
            <w:pPr>
              <w:pStyle w:val="Normal"/>
              <w:jc w:val="center"/>
            </w:pPr>
            <w:r>
              <w:rPr>
                <w:b/>
                <w:sz w:val="26"/>
                <w:szCs w:val="26"/>
              </w:rPr>
              <w:t xml:space="preserve">КОНТРОЛЬНОЕ УПРАВЛЕНИЕ</w:t>
            </w:r>
          </w:p>
          <w:p>
            <w:pPr>
              <w:pStyle w:val="Normal"/>
              <w:jc w:val="center"/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</w:p>
          <w:p>
            <w:pPr>
              <w:pStyle w:val="Normal"/>
              <w:jc w:val="center"/>
            </w:pPr>
            <w:r>
              <w:rPr>
                <w:sz w:val="26"/>
                <w:szCs w:val="26"/>
              </w:rPr>
              <w:t xml:space="preserve">(УК НСО)</w:t>
            </w:r>
          </w:p>
          <w:p>
            <w:pPr>
              <w:pStyle w:val="UserStyle_14"/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8"/>
                <w:szCs w:val="8"/>
              </w:rPr>
            </w:r>
          </w:p>
          <w:p>
            <w:pPr>
              <w:pStyle w:val="Normal"/>
              <w:jc w:val="center"/>
            </w:pPr>
            <w:r>
              <w:rPr>
                <w:sz w:val="22"/>
              </w:rPr>
              <w:t xml:space="preserve">Красный проспект, д. 18, г. Новосибирск, 630007</w:t>
            </w:r>
          </w:p>
          <w:p>
            <w:pPr>
              <w:pStyle w:val="Normal"/>
              <w:jc w:val="center"/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/факс</w:t>
            </w:r>
            <w:r>
              <w:rPr>
                <w:sz w:val="22"/>
                <w:lang w:val="de-DE"/>
              </w:rPr>
              <w:t xml:space="preserve"> </w:t>
            </w:r>
            <w:r>
              <w:rPr>
                <w:sz w:val="22"/>
              </w:rPr>
              <w:t xml:space="preserve">(383) </w:t>
            </w:r>
            <w:r>
              <w:rPr>
                <w:sz w:val="22"/>
                <w:lang w:val="de-DE"/>
              </w:rPr>
              <w:t xml:space="preserve">2</w:t>
            </w:r>
            <w:r>
              <w:rPr>
                <w:sz w:val="22"/>
              </w:rPr>
              <w:t xml:space="preserve">23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59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59</w:t>
            </w:r>
          </w:p>
          <w:p>
            <w:pPr>
              <w:pStyle w:val="Normal"/>
              <w:jc w:val="center"/>
            </w:pPr>
            <w:r>
              <w:rPr>
                <w:sz w:val="22"/>
                <w:lang w:val="de-DE"/>
              </w:rPr>
              <w:t xml:space="preserve">E-mail: </w:t>
            </w:r>
            <w:r>
              <w:fldChar w:fldCharType="begin"/>
            </w:r>
            <w:r>
              <w:instrText xml:space="preserve"> HYPERLINK "mailto:uk@nso.ru"</w:instrText>
            </w:r>
            <w:r>
              <w:fldChar w:fldCharType="separate"/>
            </w:r>
            <w:r>
              <w:rPr>
                <w:rStyle w:val="Hyperlink"/>
                <w:sz w:val="22"/>
                <w:lang w:val="en-US"/>
              </w:rPr>
              <w:t xml:space="preserve">uk@nso.ru</w:t>
            </w:r>
            <w:r>
              <w:fldChar w:fldCharType="end"/>
            </w:r>
          </w:p>
          <w:p>
            <w:pPr>
              <w:pStyle w:val="Normal"/>
              <w:jc w:val="center"/>
              <w:rPr>
                <w:sz w:val="8"/>
                <w:szCs w:val="8"/>
                <w:lang w:val="en-US"/>
              </w:rPr>
            </w:pPr>
            <w:r>
              <w:fldChar w:fldCharType="begin"/>
            </w:r>
            <w:r>
              <w:instrText xml:space="preserve"> HYPERLINK "http://www.uk.nso.ru/"</w:instrText>
            </w:r>
            <w:r>
              <w:fldChar w:fldCharType="separate"/>
            </w:r>
            <w:r>
              <w:rPr>
                <w:rStyle w:val="Hyperlink"/>
                <w:sz w:val="22"/>
                <w:szCs w:val="22"/>
                <w:lang w:val="en-US"/>
              </w:rPr>
              <w:t xml:space="preserve">www.uk.nso.ru</w:t>
            </w:r>
            <w:r>
              <w:fldChar w:fldCharType="end"/>
            </w:r>
            <w:r>
              <w:rPr>
                <w:sz w:val="8"/>
                <w:szCs w:val="8"/>
                <w:lang w:val="en-US"/>
              </w:rPr>
            </w:r>
          </w:p>
          <w:p>
            <w:pPr>
              <w:pStyle w:val="Normal"/>
              <w:jc w:val="center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23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eastAsia="Calibri" w:cs="Calibri"/>
                <w:sz w:val="8"/>
                <w:szCs w:val="8"/>
                <w:lang w:val="de-DE"/>
              </w:rPr>
            </w:pPr>
            <w:r>
              <w:rPr>
                <w:rFonts w:ascii="Calibri" w:hAnsi="Calibri" w:eastAsia="Calibri" w:cs="Calibri"/>
                <w:sz w:val="8"/>
                <w:szCs w:val="8"/>
                <w:lang w:val="de-DE"/>
              </w:rPr>
            </w:r>
          </w:p>
        </w:tc>
        <w:tc>
          <w:tcPr>
            <w:tcW w:w="41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eastAsia="Calibri" w:cs="Calibri"/>
                <w:sz w:val="27"/>
                <w:szCs w:val="27"/>
                <w:lang w:val="de-DE"/>
              </w:rPr>
            </w:pPr>
            <w:r>
              <w:rPr>
                <w:rFonts w:ascii="Calibri" w:hAnsi="Calibri" w:eastAsia="Calibri" w:cs="Calibri"/>
                <w:sz w:val="27"/>
                <w:szCs w:val="27"/>
                <w:lang w:val="de-DE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  <w:p>
            <w:pPr>
              <w:pStyle w:val="Header"/>
              <w:jc w:val="center"/>
            </w:pPr>
          </w:p>
        </w:tc>
      </w:tr>
      <w:tr>
        <w:trPr>
          <w:trHeight w:val="209"/>
        </w:trPr>
        <w:tc>
          <w:tcPr>
            <w:tcW w:w="351" w:type="dxa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7"/>
                <w:szCs w:val="27"/>
                <w:lang w:val="de-DE"/>
              </w:rPr>
            </w:pPr>
            <w:r>
              <w:rPr>
                <w:rFonts w:eastAsia="Calibri"/>
                <w:sz w:val="27"/>
                <w:szCs w:val="27"/>
                <w:lang w:val="de-DE"/>
              </w:rPr>
            </w:r>
          </w:p>
        </w:tc>
        <w:tc>
          <w:tcPr>
            <w:tcW w:w="695" w:type="dxa"/>
            <w:textDirection w:val="lrTb"/>
            <w:vAlign w:val="top"/>
          </w:tcPr>
          <w:p>
            <w:pPr>
              <w:pStyle w:val="Normal"/>
              <w:ind w:left="72"/>
              <w:jc w:val="center"/>
              <w:rPr>
                <w:rFonts w:eastAsia="Calibri"/>
                <w:color w:val="000000"/>
                <w:sz w:val="22"/>
                <w:szCs w:val="22"/>
                <w:lang w:val="de-DE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de-DE"/>
              </w:rPr>
            </w:r>
          </w:p>
        </w:tc>
        <w:tc>
          <w:tcPr>
            <w:tcW w:w="4199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ffffff"/>
              </w:rPr>
              <w:t xml:space="preserve">  </w:t>
            </w:r>
            <w:r>
              <w:rPr>
                <w:color w:val="ffffff"/>
                <w:sz w:val="16"/>
                <w:szCs w:val="16"/>
              </w:rPr>
              <w:t xml:space="preserve">   </w:t>
            </w:r>
            <w:r>
              <w:rPr>
                <w:rFonts w:eastAsia="Calibri"/>
                <w:color w:val="ffffff"/>
              </w:rPr>
              <w:t xml:space="preserve"> </w:t>
            </w:r>
          </w:p>
        </w:tc>
        <w:tc>
          <w:tcPr>
            <w:tcW w:w="4595" w:type="dxa"/>
            <w:gridSpan w:val="3"/>
            <w:textDirection w:val="lrTb"/>
            <w:vAlign w:val="top"/>
          </w:tcPr>
          <w:p>
            <w:pPr>
              <w:pStyle w:val="Normal"/>
              <w:rPr>
                <w:rFonts w:eastAsia="Calibri"/>
                <w:color w:val="ffffff"/>
                <w:sz w:val="22"/>
                <w:szCs w:val="22"/>
              </w:rPr>
            </w:pPr>
            <w:r>
              <w:rPr>
                <w:rFonts w:eastAsia="Calibri"/>
                <w:color w:val="ffffff"/>
                <w:sz w:val="22"/>
                <w:szCs w:val="22"/>
              </w:rPr>
            </w:r>
          </w:p>
        </w:tc>
      </w:tr>
      <w:tr>
        <w:tc>
          <w:tcPr>
            <w:tcW w:w="351" w:type="dxa"/>
            <w:textDirection w:val="lrTb"/>
            <w:vAlign w:val="top"/>
          </w:tcPr>
          <w:p>
            <w:pPr>
              <w:pStyle w:val="UserStyle_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vAlign w:val="top"/>
          </w:tcPr>
          <w:p>
            <w:pPr>
              <w:pStyle w:val="Normal"/>
            </w:pPr>
            <w:r>
              <w:rPr>
                <w:rFonts w:eastAsia="Calibri"/>
                <w:sz w:val="27"/>
                <w:szCs w:val="27"/>
              </w:rPr>
              <w:t xml:space="preserve">На №</w:t>
            </w:r>
          </w:p>
        </w:tc>
        <w:tc>
          <w:tcPr>
            <w:tcW w:w="2073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425" w:type="dxa"/>
            <w:textDirection w:val="lrTb"/>
            <w:vAlign w:val="top"/>
          </w:tcPr>
          <w:p>
            <w:pPr>
              <w:pStyle w:val="Normal"/>
            </w:pPr>
            <w:r>
              <w:rPr>
                <w:rFonts w:eastAsia="Calibri"/>
                <w:sz w:val="27"/>
                <w:szCs w:val="27"/>
              </w:rPr>
              <w:t xml:space="preserve">от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4595" w:type="dxa"/>
            <w:gridSpan w:val="3"/>
            <w:textDirection w:val="lrTb"/>
            <w:vAlign w:val="top"/>
          </w:tcPr>
          <w:p>
            <w:pPr>
              <w:pStyle w:val="Normal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</w:tr>
    </w:tbl>
    <w:p>
      <w:pPr>
        <w:pStyle w:val="Normal"/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201"/>
        <w:jc w:val="both"/>
      </w:pPr>
      <w:r>
        <w:rPr>
          <w:sz w:val="27"/>
          <w:szCs w:val="27"/>
        </w:rPr>
        <w:t xml:space="preserve">О предоставлении информации</w:t>
      </w:r>
    </w:p>
    <w:p>
      <w:pPr>
        <w:pStyle w:val="Normal"/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</w:pPr>
      <w:r>
        <w:rPr>
          <w:rFonts w:eastAsia="Calibri"/>
          <w:sz w:val="27"/>
          <w:szCs w:val="27"/>
          <w:lang w:eastAsia="en-US"/>
        </w:rPr>
        <w:t xml:space="preserve">Контрольное управление Новосибирской области действующими нормативными правовыми актами Новосибирской области не наделено полномочиями по официальному разъяснению и толкованию </w:t>
      </w:r>
      <w:r>
        <w:rPr>
          <w:sz w:val="27"/>
          <w:szCs w:val="27"/>
        </w:rPr>
        <w:t xml:space="preserve">законодательства Российской Федерации, в том числе</w:t>
      </w:r>
      <w:r>
        <w:rPr>
          <w:rFonts w:eastAsia="Calibri"/>
          <w:sz w:val="27"/>
          <w:szCs w:val="27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>
      <w:pPr>
        <w:pStyle w:val="Normal"/>
        <w:ind w:firstLine="709"/>
        <w:jc w:val="both"/>
      </w:pPr>
      <w:r>
        <w:rPr>
          <w:rFonts w:eastAsia="Calibri"/>
          <w:sz w:val="27"/>
          <w:szCs w:val="27"/>
          <w:lang w:eastAsia="en-US"/>
        </w:rPr>
        <w:t xml:space="preserve">Однако, считаем возможным выразить свое мнение относительно</w:t>
      </w:r>
      <w:r>
        <w:rPr>
          <w:sz w:val="27"/>
          <w:szCs w:val="27"/>
        </w:rPr>
        <w:t xml:space="preserve"> Вашего обращения в части увеличения цены контракта от 26.12.2022 № 17-2022-ЭА на оказание услуг по строительному контролю на объекте «Насосная станция и система хозяйственно-бытового водоснабжения с. Марусино НСО».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В соответствии с частью 65.1 статьи 112 Федерального закона № 44-ФЗ по соглашению сторон допускается изменение существенных условий контракта, заключенного до 1 января 2025 года, если при исполнении такого контракта возникли независящие от сторон контракта обстоятельства, влекущие невозможность его исполнения. Предусмотренное изменение осуществляется с соблюдением положений частей 1.3 - 1.6 статьи 95 Федерального закона № 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Частями 1.3-1.6 статьи 95 Федерального закона № 44-ФЗ предусмотрено изменение существенных условий контракта при его исполнении с учетом следующих особенностей: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- предусмотренные частью 1 статьи 95 Федерального закона № 44-ФЗ изменения осуществляются при условии предоставления поставщиком (подрядчиком, исполнителем) в соответствии с Федерального закона № 44-ФЗ обеспечения исполнения контракта, если такие изменения влекут возникновение новых обязательств поставщика (подрядчика, исполнителя), не обеспеченных ранее предоставленным обеспечением исполнения контракта, и если при определении поставщика (подрядчика, исполнителя) требование обеспечения исполнения контракта установлено в соответствии со статьей 96 Федерального закона № 44-ФЗ; 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- в случае изменения срока исполнения контракта в соответствии с частью 27 статьи 34 Федерального закона № 44-ФЗ по соглашению сторон устанавливается новый срок возврата заказчиком поставщику (подрядчику, исполнителю) денежных средств, внесенных в качестве обеспечения исполнения контракта;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- государственным или муниципальным заказчиком как получателем бюджетных средств предусмотренные частью 1 статьи 95 Федерального закона № 44-ФЗ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Таким образом, муниципальный заказчик и поставщик (подрядчик, исполнитель) по соглашению сторон при наличии независимых от них обстоятельств, влекущих невозможность исполнения контракта, заключенного до 01.01.2025, вправе изменить существенные условия контракта, в том числе изменить объем поставляемых товаров, работ, услуг или их стоимость путем заключения дополнительного соглашения к контракту, при наличии решения местной администрации с учетом особенностей, установленных частями 1.3-1.6 статьи 95 Федерального закона № 44-ФЗ.</w:t>
      </w:r>
    </w:p>
    <w:p>
      <w:pPr>
        <w:pStyle w:val="Normal"/>
        <w:ind w:right="-2" w:firstLine="709"/>
        <w:jc w:val="both"/>
      </w:pPr>
      <w:r>
        <w:rPr>
          <w:sz w:val="27"/>
          <w:szCs w:val="27"/>
        </w:rPr>
        <w:t xml:space="preserve">Местная администрация вправе принять правовой акт, определяющий порядок принятия решения местной администрации о возможности внесения муниципальными заказчиками изменений в существенные условия контрактов.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1840230</wp:posOffset>
                </wp:positionH>
                <wp:positionV relativeFrom="paragraph">
                  <wp:posOffset>17145</wp:posOffset>
                </wp:positionV>
                <wp:extent cx="2543810" cy="12954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254381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char;margin-left:144.90pt;mso-position-horizontal:absolute;mso-position-vertical-relative:text;margin-top:1.35pt;mso-position-vertical:absolute;width:200.30pt;height:102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7"/>
          <w:szCs w:val="27"/>
        </w:rPr>
        <w:tab/>
        <w:tab/>
        <w:t xml:space="preserve"> </w:t>
      </w:r>
    </w:p>
    <w:p>
      <w:pPr>
        <w:pStyle w:val="Normal"/>
        <w:jc w:val="both"/>
      </w:pPr>
      <w:r>
        <w:rPr>
          <w:sz w:val="27"/>
          <w:szCs w:val="27"/>
        </w:rPr>
        <w:t xml:space="preserve">Начальник управления</w:t>
        <w:tab/>
        <w:tab/>
      </w:r>
      <w:r>
        <w:rPr>
          <w:color w:val="000000"/>
          <w:sz w:val="27"/>
          <w:szCs w:val="27"/>
        </w:rPr>
        <w:tab/>
        <w:tab/>
        <w:tab/>
        <w:tab/>
        <w:tab/>
        <w:tab/>
        <w:t xml:space="preserve">      </w:t>
      </w:r>
      <w:r>
        <w:rPr>
          <w:sz w:val="27"/>
          <w:szCs w:val="27"/>
        </w:rPr>
        <w:t xml:space="preserve">С.Л. Шарпф</w:t>
      </w:r>
    </w:p>
    <w:p>
      <w:p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</w:pPr>
      <w:r>
        <w:rPr>
          <w:color w:val="ffffff"/>
        </w:rPr>
        <w:t xml:space="preserve">                                                    </w:t>
      </w:r>
    </w:p>
    <w:p>
      <w:pPr>
        <w:pStyle w:val="Normal"/>
        <w:ind w:right="201"/>
        <w:jc w:val="both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201"/>
        <w:jc w:val="both"/>
      </w:pPr>
      <w:r>
        <w:rPr>
          <w:sz w:val="20"/>
          <w:szCs w:val="20"/>
        </w:rPr>
        <w:t xml:space="preserve">Л.Ю. Исмайлова</w:t>
      </w:r>
    </w:p>
    <w:p>
      <w:pPr>
        <w:pStyle w:val="Normal"/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238-64-03</w:t>
      </w:r>
    </w:p>
    <w:sectPr>
      <w:headerReference w:type="default" r:id="rId6"/>
      <w:headerReference w:type="first" r:id="rId7"/>
      <w:type w:val="nextPage"/>
      <w:pgSz w:w="11906" w:h="16838"/>
      <w:pgMar w:top="1190" w:right="567" w:bottom="1134" w:left="1418" w:header="1134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406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Верхний колонтитул Знак"/>
    <w:next w:val="UserStyle_1"/>
    <w:link w:val="Normal"/>
    <w:rPr>
      <w:sz w:val="28"/>
      <w:szCs w:val="28"/>
      <w:lang w:val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2">
    <w:name w:val="Основной текст 2 Знак"/>
    <w:next w:val="UserStyle_2"/>
    <w:link w:val="Normal"/>
    <w:rPr>
      <w:sz w:val="28"/>
      <w:szCs w:val="28"/>
      <w:lang w:val="ru-RU" w:bidi="ar-SA"/>
    </w:rPr>
  </w:style>
  <w:style w:type="character" w:styleId="UserStyle_3">
    <w:name w:val="Основной текст 3 Знак"/>
    <w:next w:val="UserStyle_3"/>
    <w:link w:val="Normal"/>
    <w:rPr>
      <w:b/>
      <w:bCs/>
      <w:sz w:val="28"/>
      <w:szCs w:val="28"/>
      <w:lang w:val="ru-RU" w:bidi="ar-SA"/>
    </w:r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5">
    <w:name w:val="Font Style14"/>
    <w:next w:val="UserStyle_5"/>
    <w:link w:val="Normal"/>
    <w:rPr>
      <w:rFonts w:ascii="Times New Roman" w:hAnsi="Times New Roman" w:cs="Times New Roman"/>
      <w:b/>
      <w:bCs/>
      <w:sz w:val="26"/>
      <w:szCs w:val="26"/>
    </w:rPr>
  </w:style>
  <w:style w:type="character" w:styleId="UserStyle_6">
    <w:name w:val="Font Style15"/>
    <w:next w:val="UserStyle_6"/>
    <w:link w:val="Normal"/>
    <w:rPr>
      <w:rFonts w:ascii="Times New Roman" w:hAnsi="Times New Roman" w:cs="Times New Roman"/>
      <w:sz w:val="26"/>
      <w:szCs w:val="26"/>
    </w:rPr>
  </w:style>
  <w:style w:type="character" w:styleId="UserStyle_7">
    <w:name w:val="Нижний колонтитул Знак"/>
    <w:next w:val="UserStyle_7"/>
    <w:link w:val="Normal"/>
    <w:rPr>
      <w:sz w:val="28"/>
      <w:szCs w:val="28"/>
    </w:rPr>
  </w:style>
  <w:style w:type="character" w:styleId="UserStyle_8">
    <w:name w:val="Основной текст Знак"/>
    <w:next w:val="UserStyle_8"/>
    <w:link w:val="Normal"/>
    <w:rPr>
      <w:sz w:val="28"/>
      <w:szCs w:val="28"/>
    </w:rPr>
  </w:style>
  <w:style w:type="character" w:styleId="UserStyle_9">
    <w:name w:val="Основной текст1"/>
    <w:next w:val="UserStyle_9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paragraph" w:styleId="UserStyle_10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1">
    <w:name w:val="Index"/>
    <w:basedOn w:val="Normal"/>
    <w:next w:val="UserStyle_11"/>
    <w:link w:val="Normal"/>
    <w:pPr>
      <w:suppressLineNumbers/>
    </w:pPr>
    <w:rPr>
      <w:rFonts w:cs="Mangal"/>
      <w:lang w:val="en-US" w:eastAsia="en-US" w:bidi="en-US"/>
    </w:rPr>
  </w:style>
  <w:style w:type="paragraph" w:styleId="UserStyle_12">
    <w:name w:val="Header and Footer"/>
    <w:basedOn w:val="Normal"/>
    <w:next w:val="UserStyle_1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13">
    <w:name w:val="Основной текст 21"/>
    <w:basedOn w:val="Normal"/>
    <w:next w:val="UserStyle_13"/>
    <w:link w:val="Normal"/>
    <w:pPr>
      <w:jc w:val="both"/>
    </w:pPr>
  </w:style>
  <w:style w:type="paragraph" w:styleId="UserStyle_14">
    <w:name w:val="Основной текст 31"/>
    <w:basedOn w:val="Normal"/>
    <w:next w:val="UserStyle_14"/>
    <w:link w:val="Normal"/>
    <w:pPr>
      <w:jc w:val="center"/>
    </w:pPr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5">
    <w:name w:val="Block Text"/>
    <w:basedOn w:val="Normal"/>
    <w:next w:val="UserStyle_15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6">
    <w:name w:val="Default"/>
    <w:next w:val="UserStyle_16"/>
    <w:link w:val="Normal"/>
    <w:rPr>
      <w:rFonts w:ascii="Calibri" w:hAnsi="Calibri" w:cs="Calibri"/>
      <w:color w:val="000000"/>
      <w:sz w:val="24"/>
      <w:szCs w:val="24"/>
      <w:lang w:val="ru-RU" w:eastAsia="zh-CN" w:bidi="ar-SA"/>
    </w:rPr>
  </w:style>
  <w:style w:type="paragraph" w:styleId="UserStyle_17">
    <w:name w:val="Style5"/>
    <w:basedOn w:val="Normal"/>
    <w:next w:val="UserStyle_17"/>
    <w:link w:val="Normal"/>
    <w:pPr>
      <w:widowControl w:val="off"/>
      <w:spacing w:line="372" w:lineRule="exact"/>
      <w:ind w:left="0" w:right="0" w:firstLine="701"/>
      <w:jc w:val="both"/>
    </w:pPr>
    <w:rPr>
      <w:rFonts w:eastAsia="Times New Roman"/>
      <w:sz w:val="24"/>
      <w:szCs w:val="24"/>
    </w:rPr>
  </w:style>
  <w:style w:type="paragraph" w:styleId="UserStyle_18">
    <w:name w:val="ConsPlusNormal"/>
    <w:next w:val="UserStyle_18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9">
    <w:name w:val="Table Contents"/>
    <w:basedOn w:val="Normal"/>
    <w:next w:val="UserStyle_19"/>
    <w:link w:val="Normal"/>
    <w:pPr>
      <w:widowControl w:val="off"/>
      <w:suppressLineNumbers/>
    </w:pPr>
  </w:style>
  <w:style w:type="paragraph" w:styleId="UserStyle_20">
    <w:name w:val="Table Heading"/>
    <w:basedOn w:val="UserStyle_19"/>
    <w:next w:val="UserStyle_20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image" Target="media/image1.wmf"/><Relationship Id="rId9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3364</Characters>
  <CharactersWithSpaces>3947</CharactersWithSpaces>
  <Company>Правительство Новосибирской области</Company>
  <DocSecurity>0</DocSecurity>
  <HyperlinksChanged>false</HyperlinksChanged>
  <Lines>28</Lines>
  <Pages>1</Pages>
  <Paragraphs>7</Paragraphs>
  <ScaleCrop>false</ScaleCrop>
  <SharedDoc>false</SharedDoc>
  <Template>Normal</Template>
  <Words>590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Груздева Ольга Сергеевна</cp:lastModifiedBy>
  <cp:revision>3</cp:revision>
  <dcterms:created xsi:type="dcterms:W3CDTF">2025-01-21T09:58:00Z</dcterms:created>
  <dcterms:modified xsi:type="dcterms:W3CDTF">2025-01-21T10:13:00Z</dcterms:modified>
  <cp:version>1048576</cp:version>
</cp:coreProperties>
</file>