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tbl>
      <w:tblPr>
        <w:tblW w:w="0" w:type="auto"/>
        <w:tblInd w:w="28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46"/>
        <w:gridCol w:w="695"/>
        <w:gridCol w:w="1660"/>
        <w:gridCol w:w="292"/>
        <w:gridCol w:w="1901"/>
        <w:gridCol w:w="545"/>
        <w:gridCol w:w="618"/>
        <w:gridCol w:w="3783"/>
      </w:tblGrid>
      <w:tr>
        <w:tc>
          <w:tcPr>
            <w:tcW w:w="5439" w:type="dxa"/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0"/>
              <w:jc w:val="center"/>
              <w:rPr>
                <w:rFonts w:eastAsia="Calibri"/>
                <w:sz w:val="8"/>
                <w:szCs w:val="8"/>
                <w:lang w:val="en-US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4708" cy="659854"/>
                      <wp:effectExtent l="0" t="0" r="0" b="0"/>
                      <wp:docPr id="1" name="_x0000_i102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6"/>
                              <a:srcRect l="-112" t="-95" r="-112" b="-95"/>
                              <a:stretch/>
                            </pic:blipFill>
                            <pic:spPr>
                              <a:xfrm>
                                <a:off x="0" y="0"/>
                                <a:ext cx="564708" cy="6598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47pt;height:51.96pt;mso-wrap-distance-left:0.00pt;mso-wrap-distance-top:0.00pt;mso-wrap-distance-right:0.00pt;mso-wrap-distance-bottom:0.00pt;" stroked="f">
                      <v:path textboxrect="0,0,0,0"/>
                      <v:imagedata r:id="rId6" o:title=""/>
                    </v:shape>
                  </w:pict>
                </mc:Fallback>
              </mc:AlternateContent>
            </w:r>
            <w:r>
              <w:rPr>
                <w:rFonts w:eastAsia="Calibri"/>
                <w:sz w:val="8"/>
                <w:szCs w:val="8"/>
                <w:lang w:val="en-US"/>
              </w:rPr>
            </w:r>
          </w:p>
          <w:p>
            <w:pPr>
              <w:pStyle w:val="UserStyle_10"/>
              <w:jc w:val="center"/>
              <w:rPr>
                <w:rFonts w:eastAsia="Calibri"/>
                <w:sz w:val="8"/>
                <w:szCs w:val="8"/>
                <w:lang w:val="en-US"/>
              </w:rPr>
            </w:pPr>
            <w:r>
              <w:rPr>
                <w:rFonts w:eastAsia="Calibri"/>
                <w:sz w:val="8"/>
                <w:szCs w:val="8"/>
                <w:lang w:val="en-US"/>
              </w:rPr>
            </w:r>
          </w:p>
          <w:p>
            <w:pPr>
              <w:pStyle w:val="Normal"/>
              <w:jc w:val="center"/>
            </w:pPr>
            <w:r>
              <w:rPr>
                <w:b/>
                <w:sz w:val="26"/>
                <w:szCs w:val="26"/>
              </w:rPr>
              <w:t xml:space="preserve">КОНТРОЛЬНОЕ УПРАВЛЕНИЕ</w:t>
            </w:r>
          </w:p>
          <w:p>
            <w:pPr>
              <w:pStyle w:val="Normal"/>
              <w:jc w:val="center"/>
            </w:pPr>
            <w:r>
              <w:rPr>
                <w:b/>
                <w:sz w:val="26"/>
                <w:szCs w:val="26"/>
              </w:rPr>
              <w:t xml:space="preserve">НОВОСИБИРСКОЙ ОБЛАСТИ</w:t>
            </w:r>
          </w:p>
          <w:p>
            <w:pPr>
              <w:pStyle w:val="Normal"/>
              <w:jc w:val="center"/>
            </w:pPr>
            <w:r>
              <w:rPr>
                <w:sz w:val="26"/>
                <w:szCs w:val="26"/>
              </w:rPr>
              <w:t xml:space="preserve">(УК НСО)</w:t>
            </w:r>
          </w:p>
          <w:p>
            <w:pPr>
              <w:pStyle w:val="UserStyle_11"/>
              <w:rPr>
                <w:rFonts w:eastAsia="Calibri"/>
                <w:sz w:val="8"/>
                <w:szCs w:val="8"/>
              </w:rPr>
            </w:pPr>
            <w:r>
              <w:rPr>
                <w:rFonts w:eastAsia="Calibri"/>
                <w:sz w:val="8"/>
                <w:szCs w:val="8"/>
              </w:rPr>
            </w:r>
          </w:p>
          <w:p>
            <w:pPr>
              <w:pStyle w:val="Normal"/>
              <w:jc w:val="center"/>
            </w:pPr>
            <w:r>
              <w:rPr>
                <w:sz w:val="22"/>
              </w:rPr>
              <w:t xml:space="preserve">Красный проспект, д. 18, г. Новосибирск, 630007</w:t>
            </w:r>
          </w:p>
          <w:p>
            <w:pPr>
              <w:pStyle w:val="Normal"/>
              <w:jc w:val="center"/>
            </w:pPr>
            <w:r>
              <w:rPr>
                <w:sz w:val="22"/>
              </w:rPr>
              <w:t xml:space="preserve">тел</w:t>
            </w:r>
            <w:r>
              <w:rPr>
                <w:sz w:val="22"/>
                <w:lang w:val="de-DE"/>
              </w:rPr>
              <w:t xml:space="preserve">.</w:t>
            </w:r>
            <w:r>
              <w:rPr>
                <w:sz w:val="22"/>
              </w:rPr>
              <w:t xml:space="preserve">/факс</w:t>
            </w:r>
            <w:r>
              <w:rPr>
                <w:sz w:val="22"/>
                <w:lang w:val="de-DE"/>
              </w:rPr>
              <w:t xml:space="preserve"> </w:t>
            </w:r>
            <w:r>
              <w:rPr>
                <w:sz w:val="22"/>
              </w:rPr>
              <w:t xml:space="preserve">(383) </w:t>
            </w:r>
            <w:r>
              <w:rPr>
                <w:sz w:val="22"/>
                <w:lang w:val="de-DE"/>
              </w:rPr>
              <w:t xml:space="preserve">2</w:t>
            </w:r>
            <w:r>
              <w:rPr>
                <w:sz w:val="22"/>
              </w:rPr>
              <w:t xml:space="preserve">23</w:t>
            </w:r>
            <w:r>
              <w:rPr>
                <w:sz w:val="22"/>
                <w:lang w:val="de-DE"/>
              </w:rPr>
              <w:t xml:space="preserve">-</w:t>
            </w:r>
            <w:r>
              <w:rPr>
                <w:sz w:val="22"/>
              </w:rPr>
              <w:t xml:space="preserve">59</w:t>
            </w:r>
            <w:r>
              <w:rPr>
                <w:sz w:val="22"/>
                <w:lang w:val="de-DE"/>
              </w:rPr>
              <w:t xml:space="preserve">-</w:t>
            </w:r>
            <w:r>
              <w:rPr>
                <w:sz w:val="22"/>
              </w:rPr>
              <w:t xml:space="preserve">59</w:t>
            </w:r>
          </w:p>
          <w:p>
            <w:pPr>
              <w:pStyle w:val="Normal"/>
              <w:jc w:val="center"/>
            </w:pPr>
            <w:r>
              <w:rPr>
                <w:sz w:val="22"/>
                <w:lang w:val="de-DE"/>
              </w:rPr>
              <w:t xml:space="preserve">E-mail: </w:t>
            </w:r>
            <w:r>
              <w:fldChar w:fldCharType="begin"/>
            </w:r>
            <w:r>
              <w:instrText xml:space="preserve"> HYPERLINK "mailto:uk@nso.ru"</w:instrText>
            </w:r>
            <w:r>
              <w:fldChar w:fldCharType="separate"/>
            </w:r>
            <w:r>
              <w:rPr>
                <w:rStyle w:val="Hyperlink"/>
                <w:sz w:val="22"/>
                <w:lang w:val="en-US"/>
              </w:rPr>
              <w:t xml:space="preserve">uk@nso.ru</w:t>
            </w:r>
            <w:r>
              <w:fldChar w:fldCharType="end"/>
            </w:r>
          </w:p>
          <w:p>
            <w:pPr>
              <w:pStyle w:val="Normal"/>
              <w:jc w:val="center"/>
              <w:rPr>
                <w:sz w:val="8"/>
                <w:szCs w:val="8"/>
                <w:lang w:val="en-US"/>
              </w:rPr>
            </w:pPr>
            <w:r>
              <w:fldChar w:fldCharType="begin"/>
            </w:r>
            <w:r>
              <w:instrText xml:space="preserve"> HYPERLINK "http://www.uk.nso.ru/"</w:instrText>
            </w:r>
            <w:r>
              <w:fldChar w:fldCharType="separate"/>
            </w:r>
            <w:r>
              <w:rPr>
                <w:rStyle w:val="Hyperlink"/>
                <w:sz w:val="22"/>
                <w:szCs w:val="22"/>
                <w:lang w:val="en-US"/>
              </w:rPr>
              <w:t xml:space="preserve">www.uk.nso.ru</w:t>
            </w:r>
            <w:r>
              <w:fldChar w:fldCharType="end"/>
            </w:r>
            <w:r>
              <w:rPr>
                <w:sz w:val="8"/>
                <w:szCs w:val="8"/>
                <w:lang w:val="en-US"/>
              </w:rPr>
            </w:r>
          </w:p>
          <w:p>
            <w:pPr>
              <w:pStyle w:val="Normal"/>
              <w:jc w:val="center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61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eastAsia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de-DE"/>
              </w:rPr>
            </w:r>
          </w:p>
        </w:tc>
        <w:tc>
          <w:tcPr>
            <w:tcW w:w="378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eastAsia="Calibri" w:cs="Calibri"/>
                <w:lang w:val="de-DE"/>
              </w:rPr>
            </w:pPr>
            <w:r>
              <w:rPr>
                <w:rFonts w:ascii="Calibri" w:hAnsi="Calibri" w:eastAsia="Calibri" w:cs="Calibri"/>
                <w:lang w:val="de-DE"/>
              </w:rPr>
            </w:r>
          </w:p>
          <w:p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</w:p>
        </w:tc>
      </w:tr>
      <w:tr>
        <w:trPr>
          <w:trHeight w:val="209"/>
        </w:trPr>
        <w:tc>
          <w:tcPr>
            <w:tcW w:w="346" w:type="dxa"/>
            <w:textDirection w:val="lrTb"/>
            <w:vAlign w:val="top"/>
          </w:tcPr>
          <w:p>
            <w:pPr>
              <w:pStyle w:val="Normal"/>
              <w:rPr>
                <w:rFonts w:eastAsia="Calibri"/>
                <w:u w:val="single"/>
                <w:lang w:val="de-DE"/>
              </w:rPr>
            </w:pPr>
            <w:r>
              <w:rPr>
                <w:rFonts w:eastAsia="Calibri"/>
                <w:u w:val="single"/>
                <w:lang w:val="de-DE"/>
              </w:rPr>
            </w:r>
          </w:p>
        </w:tc>
        <w:tc>
          <w:tcPr>
            <w:tcW w:w="695" w:type="dxa"/>
            <w:textDirection w:val="lrTb"/>
            <w:vAlign w:val="top"/>
          </w:tcPr>
          <w:p>
            <w:pPr>
              <w:pStyle w:val="Normal"/>
              <w:ind w:left="72"/>
              <w:jc w:val="center"/>
              <w:rPr>
                <w:rFonts w:eastAsia="Calibri"/>
                <w:color w:val="000000"/>
                <w:sz w:val="22"/>
                <w:szCs w:val="22"/>
                <w:lang w:val="de-DE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de-DE"/>
              </w:rPr>
            </w:r>
          </w:p>
        </w:tc>
        <w:tc>
          <w:tcPr>
            <w:tcW w:w="3853" w:type="dxa"/>
            <w:gridSpan w:val="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ffffff"/>
              </w:rPr>
              <w:t xml:space="preserve">  </w:t>
            </w:r>
            <w:r>
              <w:rPr>
                <w:color w:val="ffffff"/>
                <w:sz w:val="16"/>
                <w:szCs w:val="16"/>
              </w:rPr>
              <w:t xml:space="preserve">   </w:t>
            </w:r>
            <w:r>
              <w:rPr>
                <w:rFonts w:eastAsia="Calibri"/>
                <w:color w:val="ffffff"/>
              </w:rPr>
              <w:t xml:space="preserve"> </w:t>
            </w:r>
          </w:p>
        </w:tc>
        <w:tc>
          <w:tcPr>
            <w:tcW w:w="4946" w:type="dxa"/>
            <w:gridSpan w:val="3"/>
            <w:textDirection w:val="lrTb"/>
            <w:vAlign w:val="top"/>
          </w:tcPr>
          <w:p>
            <w:pPr>
              <w:pStyle w:val="Normal"/>
              <w:rPr>
                <w:rFonts w:eastAsia="Calibri"/>
                <w:color w:val="ffffff"/>
                <w:sz w:val="22"/>
                <w:szCs w:val="22"/>
              </w:rPr>
            </w:pPr>
            <w:r>
              <w:rPr>
                <w:rFonts w:eastAsia="Calibri"/>
                <w:color w:val="ffffff"/>
                <w:sz w:val="22"/>
                <w:szCs w:val="22"/>
              </w:rPr>
            </w:r>
          </w:p>
        </w:tc>
      </w:tr>
      <w:tr>
        <w:tc>
          <w:tcPr>
            <w:tcW w:w="346" w:type="dxa"/>
            <w:textDirection w:val="lrTb"/>
            <w:vAlign w:val="top"/>
          </w:tcPr>
          <w:p>
            <w:pPr>
              <w:pStyle w:val="UserStyle_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95" w:type="dxa"/>
            <w:textDirection w:val="lrTb"/>
            <w:vAlign w:val="top"/>
          </w:tcPr>
          <w:p>
            <w:pPr>
              <w:pStyle w:val="Normal"/>
            </w:pPr>
            <w:r>
              <w:rPr>
                <w:rFonts w:eastAsia="Calibri"/>
              </w:rPr>
              <w:t xml:space="preserve">На №</w:t>
            </w:r>
          </w:p>
        </w:tc>
        <w:tc>
          <w:tcPr>
            <w:tcW w:w="1660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292" w:type="dxa"/>
            <w:textDirection w:val="lrTb"/>
            <w:vAlign w:val="top"/>
          </w:tcPr>
          <w:p>
            <w:pPr>
              <w:pStyle w:val="Normal"/>
            </w:pPr>
            <w:r>
              <w:rPr>
                <w:rFonts w:eastAsia="Calibri"/>
              </w:rPr>
              <w:t xml:space="preserve">от</w:t>
            </w:r>
          </w:p>
        </w:tc>
        <w:tc>
          <w:tcPr>
            <w:tcW w:w="1901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4946" w:type="dxa"/>
            <w:gridSpan w:val="3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</w:tbl>
    <w:p>
      <w:pPr>
        <w:pStyle w:val="Header"/>
        <w:tabs>
          <w:tab w:val="clear" w:pos="4153"/>
          <w:tab w:val="clear" w:pos="8306"/>
        </w:tabs>
      </w:pPr>
    </w:p>
    <w:p>
      <w:pPr>
        <w:pStyle w:val="Normal"/>
        <w:ind w:right="201"/>
        <w:jc w:val="both"/>
      </w:pPr>
      <w:r>
        <w:t xml:space="preserve">О направлении информации</w:t>
      </w:r>
    </w:p>
    <w:p>
      <w:pPr>
        <w:pStyle w:val="Normal"/>
        <w:ind w:right="201"/>
        <w:jc w:val="both"/>
      </w:pPr>
    </w:p>
    <w:p>
      <w:pPr>
        <w:pStyle w:val="Normal"/>
        <w:ind w:right="201"/>
        <w:jc w:val="both"/>
      </w:pPr>
    </w:p>
    <w:p>
      <w:pPr>
        <w:pStyle w:val="Normal"/>
        <w:ind w:right="201"/>
        <w:jc w:val="both"/>
      </w:pPr>
    </w:p>
    <w:p>
      <w:pPr>
        <w:pStyle w:val="Normal"/>
      </w:pPr>
    </w:p>
    <w:p>
      <w:pPr>
        <w:pStyle w:val="Normal"/>
        <w:ind w:firstLine="709"/>
        <w:jc w:val="both"/>
      </w:pPr>
      <w:r>
        <w:t xml:space="preserve">Рассмотрев запрос о возможности установления авансового платежа в размере 30 процентов от цены договора (государственного контракта) в соответствии с типовым договором, утвержденным постановлением Правительства Российской Федерации от 24.10.2019 № 1363 «Об утверждении формы типового договора на оказание услуг по обращению с отходами I и II классов опасности» (далее – Постановление № 1363), либо о необходимости ГБУ НСО «ЦИТ НСО» устанавливать размер авансового платежа в соответствии с Законом Новосибирской области от 21.12.2023 № 413-ОЗ «Об областном бюджете Новосибирской области на 2024 год и плановый период 2025 и 2026 годов» (далее – Закон № 413-ОЗ), контрольное управление Новосибирской области (далее – Управление) сообщает следующее.</w:t>
      </w:r>
    </w:p>
    <w:p>
      <w:pPr>
        <w:pStyle w:val="Normal"/>
        <w:ind w:firstLine="709"/>
        <w:jc w:val="both"/>
      </w:pPr>
      <w:r>
        <w:t xml:space="preserve">Управление действующими нормативными правовыми актами Новосибирской области не наделено полномочиями по официальному разъяснению и толкованию законодательства Российской Федерации, однако считаем возможным выразить свое мнение по указанному вопросу.</w:t>
      </w:r>
    </w:p>
    <w:p>
      <w:pPr>
        <w:pStyle w:val="Normal"/>
        <w:ind w:firstLine="709"/>
        <w:jc w:val="both"/>
      </w:pPr>
      <w:r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 в части, касающейся определения поставщиков (подрядчиков, исполнителей), а также заключения предусмотренных Федеральным законом № 44-ФЗ контрактов (часть 1 статьи 1 Федерального закона № 44-ФЗ).</w:t>
      </w:r>
    </w:p>
    <w:p>
      <w:pPr>
        <w:pStyle w:val="Normal"/>
        <w:ind w:firstLine="709"/>
        <w:jc w:val="both"/>
      </w:pPr>
      <w:r>
        <w:t xml:space="preserve">В силу положений части 1 статьи 2 Федерального закона № 44-ФЗ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на положениях Конституции Российской Федерации, Гражданского кодекса Российской Федерации, Бюджетного кодекса Российской Федерации и состоит из Федерального закона № 44-ФЗ и других федеральных законов, регулирующих отношения, указанные в части 1 статьи 1 Федерального закона № 44-ФЗ.</w:t>
      </w:r>
    </w:p>
    <w:p>
      <w:pPr>
        <w:pStyle w:val="Normal"/>
        <w:ind w:firstLine="709"/>
        <w:jc w:val="both"/>
      </w:pPr>
      <w:r>
        <w:t xml:space="preserve">При этом нормы права, содержащиеся в других федеральных законах и регулирующие указанные отношения, должны соответствовать Федеральному закону № 44-ФЗ.</w:t>
      </w:r>
    </w:p>
    <w:p>
      <w:pPr>
        <w:pStyle w:val="Normal"/>
        <w:ind w:firstLine="709"/>
        <w:jc w:val="both"/>
      </w:pPr>
      <w:r>
        <w:t xml:space="preserve">В соответствии с частью 11 статьи 34 Федерального закона № 44-ФЗ Правительство Российской Федерации вправе установить типовые условия контрактов, подлежащие применению заказчиками при осуществлении закупок.</w:t>
      </w:r>
    </w:p>
    <w:p>
      <w:pPr>
        <w:pStyle w:val="Normal"/>
        <w:ind w:firstLine="709"/>
        <w:jc w:val="both"/>
      </w:pPr>
      <w:r>
        <w:t xml:space="preserve">Согласно пункта 2 статьи 14.4 Федерального закона от 24.06.1998 № 89-ФЗ «Об отходах производства и потребления» (далее – Закон № 89) формы типовых договоров на оказание услуг по обращению с отходами I и II классов опасности утверждаются Правительством Российской Федерации. Указанные договоры могут быть дополнены по соглашению сторон иными не противоречащими законодательству Российской Федерации положениями.</w:t>
      </w:r>
    </w:p>
    <w:p>
      <w:pPr>
        <w:pStyle w:val="Normal"/>
        <w:ind w:firstLine="709"/>
        <w:jc w:val="both"/>
      </w:pPr>
      <w:r>
        <w:t xml:space="preserve">На основании пункта 3 статьи 14.4 Закона № 89-ФЗ индивидуальные предприниматели, юридические лица, в результате хозяйственной и (или) иной деятельности которых образуются отходы I и II классов опасности,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опасности, за исключением случаев самостоятельного обращения с отходами I и II классов опасности, предусмотренных пунктом 1 настоящей статьи.</w:t>
      </w:r>
    </w:p>
    <w:p>
      <w:pPr>
        <w:pStyle w:val="Normal"/>
        <w:ind w:firstLine="709"/>
        <w:jc w:val="both"/>
      </w:pPr>
      <w:r>
        <w:t xml:space="preserve">С учетом изложенного, типовой договор на оказание услуг по обращению с отходами I и II классов опасности, утвержденный Постановлением № 1363 в реализацию пунктов 2, 3 статьи 14.4 Закона № 89-ФЗ должен применяться в части, не противоречащей Федеральному закону № 44-ФЗ. </w:t>
      </w:r>
    </w:p>
    <w:p>
      <w:pPr>
        <w:pStyle w:val="Normal"/>
        <w:ind w:firstLine="709"/>
        <w:jc w:val="both"/>
      </w:pPr>
      <w:r>
        <w:t xml:space="preserve">Согласно пункту 3 статьи 5 Закона № 413-ОЗ установлено, что органы государственной власти Новосибирской области, государственные органы Новосибирской области, государственные учреждения Новосибирской области при заключении договоров (государственных контрактов) вправе предусматривать авансовые платежи в размере до 20 процентов включительно цены договора (государственного контракта), если иное не предусмотрено федеральным законодательством, по договорам (государственным контрактам), не указанным в пунктах 1 и 2 настоящей статьи.</w:t>
      </w:r>
    </w:p>
    <w:p>
      <w:pPr>
        <w:pStyle w:val="Normal"/>
        <w:ind w:firstLine="709"/>
        <w:jc w:val="both"/>
      </w:pPr>
      <w:r>
        <w:t xml:space="preserve">На основании изложенного, Управление делает вывод о правомерности заключения контрактов на оказание услуг по утилизации отходов </w:t>
      </w:r>
      <w:r>
        <w:rPr>
          <w:lang w:val="en-US"/>
        </w:rPr>
        <w:t xml:space="preserve">I</w:t>
      </w:r>
      <w:r>
        <w:t xml:space="preserve"> и </w:t>
      </w:r>
      <w:r>
        <w:rPr>
          <w:lang w:val="en-US"/>
        </w:rPr>
        <w:t xml:space="preserve">II</w:t>
      </w:r>
      <w:r>
        <w:t xml:space="preserve"> классов опасности с включением условия, предусматривающего авансовый платеж в размере 30 процентов от цены контракта.</w:t>
      </w:r>
    </w:p>
    <w:p>
      <w:pPr>
        <w:pStyle w:val="Normal"/>
        <w:ind w:firstLine="709"/>
        <w:jc w:val="both"/>
      </w:pPr>
      <w:r>
        <w:t xml:space="preserve">Обращаем Ваше внимание, что настоящее письмо в части разъяснения и толкования законодательства Российской Федерации носит исключительно информационный характер.</w:t>
      </w:r>
    </w:p>
    <w:p>
      <w:pPr>
        <w:pStyle w:val="Normal"/>
        <w:ind w:firstLine="709"/>
        <w:jc w:val="both"/>
      </w:pPr>
    </w:p>
    <w:p>
      <w:pPr>
        <w:pStyle w:val="Normal"/>
        <w:ind w:right="201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haracter">
                  <wp:posOffset>2373630</wp:posOffset>
                </wp:positionH>
                <wp:positionV relativeFrom="paragraph">
                  <wp:posOffset>90805</wp:posOffset>
                </wp:positionV>
                <wp:extent cx="2340610" cy="129540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234061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524288;o:allowoverlap:true;o:allowincell:true;mso-position-horizontal-relative:char;margin-left:186.90pt;mso-position-horizontal:absolute;mso-position-vertical-relative:text;margin-top:7.15pt;mso-position-vertical:absolute;width:184.30pt;height:102.00pt;mso-wrap-distance-left:0.00pt;mso-wrap-distance-top:0.00pt;mso-wrap-distance-right:0.00pt;mso-wrap-distance-bottom:0.00pt;" stroked="f">
                <v:path textboxrect="0,0,0,0"/>
                <v:imagedata r:id="rId7" o:title=""/>
              </v:shape>
            </w:pict>
          </mc:Fallback>
        </mc:AlternateContent>
      </w:r>
    </w:p>
    <w:p>
      <w:pPr>
        <w:pStyle w:val="Normal"/>
      </w:pPr>
    </w:p>
    <w:p>
      <w:pPr>
        <w:pStyle w:val="Normal"/>
        <w:jc w:val="both"/>
      </w:pPr>
      <w:r>
        <w:t xml:space="preserve">Начальник управления</w:t>
        <w:tab/>
        <w:tab/>
        <w:tab/>
        <w:tab/>
        <w:tab/>
        <w:tab/>
        <w:t xml:space="preserve">                             С.Л. Шарпф</w:t>
      </w:r>
    </w:p>
    <w:p>
      <w:pPr>
        <w:pStyle w:val="Normal"/>
      </w:pPr>
      <w:r>
        <w:rPr>
          <w:color w:val="ffffff"/>
        </w:rPr>
        <w:t xml:space="preserve">                                                    </w:t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Normal"/>
        <w:rPr>
          <w:color w:val="ffffff"/>
        </w:rPr>
      </w:pPr>
      <w:r>
        <w:rPr>
          <w:color w:val="ffffff"/>
        </w:rPr>
      </w:r>
    </w:p>
    <w:p>
      <w:pPr>
        <w:pStyle w:val="Footer"/>
      </w:pPr>
      <w:r>
        <w:rPr>
          <w:sz w:val="20"/>
          <w:szCs w:val="20"/>
        </w:rPr>
        <w:t xml:space="preserve">И.А. Хижниченко</w:t>
      </w:r>
    </w:p>
    <w:p>
      <w:pPr>
        <w:pStyle w:val="Footer"/>
        <w:rPr>
          <w:sz w:val="20"/>
          <w:szCs w:val="20"/>
        </w:rPr>
      </w:pPr>
      <w:r>
        <w:rPr>
          <w:sz w:val="20"/>
          <w:szCs w:val="20"/>
        </w:rPr>
        <w:t xml:space="preserve">238-64-01</w:t>
      </w:r>
    </w:p>
    <w:sectPr>
      <w:type w:val="nextPage"/>
      <w:pgSz w:w="11906" w:h="16838"/>
      <w:pgMar w:top="1134" w:right="567" w:bottom="1276" w:left="1418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ahoma">
    <w:panose1 w:val="020B0604030504040204"/>
  </w:font>
  <w:font w:name="Mangal">
    <w:panose1 w:val="02040503050406030204"/>
  </w:font>
  <w:font w:name="Liberation Sans">
    <w:panose1 w:val="020B0604020202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8"/>
      <w:szCs w:val="28"/>
      <w:lang w:val="ru-RU" w:eastAsia="zh-CN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Основной шрифт абзаца1"/>
    <w:next w:val="UserStyle_0"/>
    <w:link w:val="Normal"/>
  </w:style>
  <w:style w:type="character" w:styleId="UserStyle_1">
    <w:name w:val="Верхний колонтитул Знак"/>
    <w:next w:val="UserStyle_1"/>
    <w:link w:val="Normal"/>
    <w:rPr>
      <w:sz w:val="28"/>
      <w:szCs w:val="28"/>
      <w:lang w:val="ru-RU" w:bidi="ar-SA"/>
    </w:rPr>
  </w:style>
  <w:style w:type="character" w:styleId="Hyperlink">
    <w:name w:val="Гиперссылка"/>
    <w:next w:val="Hyperlink"/>
    <w:link w:val="Normal"/>
    <w:rPr>
      <w:rFonts w:cs="Times New Roman"/>
      <w:color w:val="0000ff"/>
      <w:u w:val="single"/>
    </w:rPr>
  </w:style>
  <w:style w:type="character" w:styleId="UserStyle_2">
    <w:name w:val="Основной текст 2 Знак"/>
    <w:next w:val="UserStyle_2"/>
    <w:link w:val="Normal"/>
    <w:rPr>
      <w:sz w:val="28"/>
      <w:szCs w:val="28"/>
      <w:lang w:val="ru-RU" w:bidi="ar-SA"/>
    </w:rPr>
  </w:style>
  <w:style w:type="character" w:styleId="UserStyle_3">
    <w:name w:val="Основной текст 3 Знак"/>
    <w:next w:val="UserStyle_3"/>
    <w:link w:val="Normal"/>
    <w:rPr>
      <w:b/>
      <w:bCs/>
      <w:sz w:val="28"/>
      <w:szCs w:val="28"/>
      <w:lang w:val="ru-RU" w:bidi="ar-SA"/>
    </w:rPr>
  </w:style>
  <w:style w:type="character" w:styleId="UserStyle_4">
    <w:name w:val=" Знак Знак4"/>
    <w:next w:val="UserStyle_4"/>
    <w:link w:val="Normal"/>
    <w:rPr>
      <w:rFonts w:ascii="Times New Roman" w:hAnsi="Times New Roman" w:eastAsia="Times New Roman" w:cs="Times New Roman"/>
      <w:sz w:val="28"/>
      <w:szCs w:val="28"/>
    </w:rPr>
  </w:style>
  <w:style w:type="character" w:styleId="UserStyle_5">
    <w:name w:val="Font Style14"/>
    <w:next w:val="UserStyle_5"/>
    <w:link w:val="Normal"/>
    <w:rPr>
      <w:rFonts w:ascii="Times New Roman" w:hAnsi="Times New Roman" w:cs="Times New Roman"/>
      <w:b/>
      <w:bCs/>
      <w:sz w:val="26"/>
      <w:szCs w:val="26"/>
    </w:rPr>
  </w:style>
  <w:style w:type="character" w:styleId="UserStyle_6">
    <w:name w:val="Font Style15"/>
    <w:next w:val="UserStyle_6"/>
    <w:link w:val="Normal"/>
    <w:rPr>
      <w:rFonts w:ascii="Times New Roman" w:hAnsi="Times New Roman" w:cs="Times New Roman"/>
      <w:sz w:val="26"/>
      <w:szCs w:val="26"/>
    </w:rPr>
  </w:style>
  <w:style w:type="paragraph" w:styleId="UserStyle_7">
    <w:name w:val="Heading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cs="Mangal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8">
    <w:name w:val="Index"/>
    <w:basedOn w:val="Normal"/>
    <w:next w:val="UserStyle_8"/>
    <w:link w:val="Normal"/>
    <w:pPr>
      <w:suppressLineNumbers/>
    </w:pPr>
    <w:rPr>
      <w:rFonts w:cs="Mangal"/>
      <w:lang w:val="en-US" w:eastAsia="en-US" w:bidi="en-US"/>
    </w:rPr>
  </w:style>
  <w:style w:type="paragraph" w:styleId="UserStyle_9">
    <w:name w:val="Header and Footer"/>
    <w:basedOn w:val="Normal"/>
    <w:next w:val="UserStyle_9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153" w:leader="none"/>
        <w:tab w:val="right" w:pos="8306" w:leader="none"/>
      </w:tabs>
    </w:pPr>
  </w:style>
  <w:style w:type="paragraph" w:styleId="UserStyle_10">
    <w:name w:val="Основной текст 21"/>
    <w:basedOn w:val="Normal"/>
    <w:next w:val="UserStyle_10"/>
    <w:link w:val="Normal"/>
    <w:pPr>
      <w:jc w:val="both"/>
    </w:pPr>
  </w:style>
  <w:style w:type="paragraph" w:styleId="UserStyle_11">
    <w:name w:val="Основной текст 31"/>
    <w:basedOn w:val="Normal"/>
    <w:next w:val="UserStyle_11"/>
    <w:link w:val="Normal"/>
    <w:pPr>
      <w:jc w:val="center"/>
    </w:pPr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</w:rPr>
  </w:style>
  <w:style w:type="paragraph" w:styleId="UserStyle_12">
    <w:name w:val="Block Text"/>
    <w:basedOn w:val="Normal"/>
    <w:next w:val="UserStyle_12"/>
    <w:link w:val="Normal"/>
    <w:pPr>
      <w:tabs>
        <w:tab w:val="left" w:pos="2552" w:leader="none"/>
      </w:tabs>
      <w:ind w:left="1701" w:right="-369" w:hanging="2694"/>
      <w:jc w:val="both"/>
    </w:pPr>
    <w:rPr>
      <w:szCs w:val="20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UserStyle_13">
    <w:name w:val="Default"/>
    <w:next w:val="UserStyle_13"/>
    <w:link w:val="Normal"/>
    <w:rPr>
      <w:rFonts w:ascii="Calibri" w:hAnsi="Calibri" w:cs="Calibri"/>
      <w:color w:val="000000"/>
      <w:sz w:val="24"/>
      <w:szCs w:val="24"/>
      <w:lang w:val="ru-RU" w:eastAsia="zh-CN" w:bidi="ar-SA"/>
    </w:rPr>
  </w:style>
  <w:style w:type="paragraph" w:styleId="UserStyle_14">
    <w:name w:val="Style5"/>
    <w:basedOn w:val="Normal"/>
    <w:next w:val="UserStyle_14"/>
    <w:link w:val="Normal"/>
    <w:pPr>
      <w:widowControl w:val="off"/>
      <w:spacing w:line="372" w:lineRule="exact"/>
      <w:ind w:left="0" w:right="0" w:firstLine="701"/>
      <w:jc w:val="both"/>
    </w:pPr>
    <w:rPr>
      <w:rFonts w:eastAsia="Times New Roman"/>
      <w:sz w:val="24"/>
      <w:szCs w:val="24"/>
    </w:rPr>
  </w:style>
  <w:style w:type="paragraph" w:styleId="UserStyle_15">
    <w:name w:val="ConsPlusNormal"/>
    <w:next w:val="UserStyle_15"/>
    <w:link w:val="Normal"/>
    <w:pPr>
      <w:widowControl w:val="off"/>
      <w:ind w:firstLine="720"/>
    </w:pPr>
    <w:rPr>
      <w:rFonts w:ascii="Arial" w:hAnsi="Arial" w:cs="Arial"/>
      <w:lang w:val="ru-RU" w:eastAsia="zh-CN" w:bidi="ar-SA"/>
    </w:rPr>
  </w:style>
  <w:style w:type="paragraph" w:styleId="UserStyle_16">
    <w:name w:val="Table Contents"/>
    <w:basedOn w:val="Normal"/>
    <w:next w:val="UserStyle_16"/>
    <w:link w:val="Normal"/>
    <w:pPr>
      <w:widowControl w:val="off"/>
      <w:suppressLineNumbers/>
    </w:pPr>
  </w:style>
  <w:style w:type="paragraph" w:styleId="UserStyle_17">
    <w:name w:val="Table Heading"/>
    <w:basedOn w:val="UserStyle_16"/>
    <w:next w:val="UserStyle_17"/>
    <w:link w:val="Normal"/>
    <w:pPr>
      <w:suppressLineNumbers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4427</Characters>
  <CharactersWithSpaces>5193</CharactersWithSpaces>
  <Company>Правительство Новосибирской области</Company>
  <DocSecurity>0</DocSecurity>
  <HyperlinksChanged>false</HyperlinksChanged>
  <Lines>36</Lines>
  <Pages>1</Pages>
  <Paragraphs>10</Paragraphs>
  <ScaleCrop>false</ScaleCrop>
  <SharedDoc>false</SharedDoc>
  <Template>Normal</Template>
  <Words>776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lastModifiedBy>Груздева Ольга Сергеевна</cp:lastModifiedBy>
  <cp:revision>3</cp:revision>
  <dcterms:created xsi:type="dcterms:W3CDTF">2025-01-21T09:57:00Z</dcterms:created>
  <dcterms:modified xsi:type="dcterms:W3CDTF">2025-01-21T10:13:00Z</dcterms:modified>
  <cp:version>1048576</cp:version>
</cp:coreProperties>
</file>